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F03" w:rsidRDefault="000A5F03">
      <w:pPr>
        <w:tabs>
          <w:tab w:val="left" w:pos="312"/>
        </w:tabs>
        <w:spacing w:line="560" w:lineRule="exac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附件</w:t>
      </w:r>
      <w:r>
        <w:rPr>
          <w:rFonts w:ascii="仿宋_GB2312" w:eastAsia="仿宋_GB2312" w:hAnsi="仿宋_GB2312" w:cs="仿宋_GB2312"/>
          <w:bCs/>
          <w:sz w:val="32"/>
          <w:szCs w:val="32"/>
        </w:rPr>
        <w:t>1</w:t>
      </w:r>
    </w:p>
    <w:p w:rsidR="000A5F03" w:rsidRDefault="000A5F03">
      <w:pPr>
        <w:tabs>
          <w:tab w:val="left" w:pos="312"/>
        </w:tabs>
        <w:spacing w:line="560" w:lineRule="exact"/>
        <w:jc w:val="center"/>
        <w:rPr>
          <w:rFonts w:ascii="Times New Roman" w:eastAsia="华文中宋" w:hAnsi="Times New Roman"/>
          <w:b/>
          <w:sz w:val="44"/>
          <w:szCs w:val="44"/>
        </w:rPr>
      </w:pPr>
    </w:p>
    <w:p w:rsidR="000A5F03" w:rsidRDefault="000A5F03">
      <w:pPr>
        <w:tabs>
          <w:tab w:val="left" w:pos="312"/>
        </w:tabs>
        <w:spacing w:line="560" w:lineRule="exact"/>
        <w:jc w:val="center"/>
        <w:rPr>
          <w:rFonts w:ascii="Times New Roman" w:eastAsia="华文中宋" w:hAnsi="Times New Roman"/>
          <w:b/>
          <w:sz w:val="44"/>
          <w:szCs w:val="44"/>
        </w:rPr>
      </w:pPr>
      <w:r>
        <w:rPr>
          <w:rFonts w:ascii="Times New Roman" w:eastAsia="华文中宋" w:hAnsi="Times New Roman"/>
          <w:b/>
          <w:sz w:val="44"/>
          <w:szCs w:val="44"/>
        </w:rPr>
        <w:t>2019</w:t>
      </w:r>
      <w:r>
        <w:rPr>
          <w:rFonts w:ascii="Times New Roman" w:eastAsia="华文中宋" w:hAnsi="Times New Roman" w:hint="eastAsia"/>
          <w:b/>
          <w:sz w:val="44"/>
          <w:szCs w:val="44"/>
        </w:rPr>
        <w:t>年度省应用技术研究与开发计划</w:t>
      </w:r>
    </w:p>
    <w:p w:rsidR="000A5F03" w:rsidRDefault="000A5F03">
      <w:pPr>
        <w:tabs>
          <w:tab w:val="left" w:pos="312"/>
        </w:tabs>
        <w:spacing w:line="560" w:lineRule="exact"/>
        <w:jc w:val="center"/>
        <w:rPr>
          <w:rFonts w:ascii="Times New Roman" w:eastAsia="华文中宋" w:hAnsi="Times New Roman"/>
          <w:b/>
          <w:sz w:val="44"/>
          <w:szCs w:val="44"/>
        </w:rPr>
      </w:pPr>
      <w:r>
        <w:rPr>
          <w:rFonts w:ascii="Times New Roman" w:eastAsia="华文中宋" w:hAnsi="Times New Roman" w:hint="eastAsia"/>
          <w:b/>
          <w:sz w:val="44"/>
          <w:szCs w:val="44"/>
        </w:rPr>
        <w:t>重大项目申报指南</w:t>
      </w:r>
    </w:p>
    <w:p w:rsidR="000A5F03" w:rsidRDefault="000A5F03">
      <w:pPr>
        <w:spacing w:line="560" w:lineRule="exact"/>
        <w:rPr>
          <w:rFonts w:ascii="Times New Roman" w:eastAsia="方正小标宋简体" w:hAnsi="Times New Roman"/>
          <w:sz w:val="36"/>
          <w:szCs w:val="36"/>
        </w:rPr>
      </w:pPr>
    </w:p>
    <w:p w:rsidR="000A5F03" w:rsidRDefault="000A5F03">
      <w:pPr>
        <w:spacing w:line="560" w:lineRule="exact"/>
        <w:ind w:firstLineChars="200" w:firstLine="640"/>
        <w:rPr>
          <w:rFonts w:ascii="Times New Roman" w:eastAsia="黑体" w:hAnsi="Times New Roman"/>
          <w:b/>
          <w:sz w:val="32"/>
          <w:szCs w:val="32"/>
        </w:rPr>
      </w:pPr>
      <w:r>
        <w:rPr>
          <w:rFonts w:ascii="Times New Roman" w:eastAsia="仿宋_GB2312" w:hAnsi="Times New Roman"/>
          <w:sz w:val="32"/>
          <w:szCs w:val="32"/>
        </w:rPr>
        <w:t xml:space="preserve">2019 </w:t>
      </w:r>
      <w:r>
        <w:rPr>
          <w:rFonts w:ascii="Times New Roman" w:eastAsia="仿宋_GB2312" w:hAnsi="Times New Roman" w:hint="eastAsia"/>
          <w:sz w:val="32"/>
          <w:szCs w:val="32"/>
        </w:rPr>
        <w:t>年度省应用技术研究与开发计划重大项目指南拟设置工业、农业、社会发展</w:t>
      </w:r>
      <w:r>
        <w:rPr>
          <w:rFonts w:ascii="Times New Roman" w:eastAsia="仿宋_GB2312" w:hAnsi="Times New Roman"/>
          <w:sz w:val="32"/>
          <w:szCs w:val="32"/>
        </w:rPr>
        <w:t>3</w:t>
      </w:r>
      <w:r>
        <w:rPr>
          <w:rFonts w:ascii="Times New Roman" w:eastAsia="仿宋_GB2312" w:hAnsi="Times New Roman" w:hint="eastAsia"/>
          <w:sz w:val="32"/>
          <w:szCs w:val="32"/>
        </w:rPr>
        <w:t>个领域，共</w:t>
      </w:r>
      <w:r>
        <w:rPr>
          <w:rFonts w:ascii="Times New Roman" w:eastAsia="仿宋_GB2312" w:hAnsi="Times New Roman"/>
          <w:sz w:val="32"/>
          <w:szCs w:val="32"/>
        </w:rPr>
        <w:t>43</w:t>
      </w:r>
      <w:r>
        <w:rPr>
          <w:rFonts w:ascii="Times New Roman" w:eastAsia="仿宋_GB2312" w:hAnsi="Times New Roman" w:hint="eastAsia"/>
          <w:sz w:val="32"/>
          <w:szCs w:val="32"/>
        </w:rPr>
        <w:t>个方向。</w:t>
      </w:r>
    </w:p>
    <w:p w:rsidR="000A5F03" w:rsidRDefault="000A5F03">
      <w:pPr>
        <w:spacing w:line="560" w:lineRule="exact"/>
        <w:ind w:firstLineChars="200" w:firstLine="640"/>
        <w:rPr>
          <w:rFonts w:ascii="Times New Roman" w:eastAsia="黑体" w:hAnsi="Times New Roman"/>
          <w:bCs/>
          <w:sz w:val="32"/>
          <w:szCs w:val="32"/>
        </w:rPr>
      </w:pPr>
      <w:r>
        <w:rPr>
          <w:rFonts w:ascii="Times New Roman" w:eastAsia="黑体" w:hAnsi="Times New Roman" w:hint="eastAsia"/>
          <w:bCs/>
          <w:sz w:val="32"/>
          <w:szCs w:val="32"/>
        </w:rPr>
        <w:t>一、工业领域</w:t>
      </w:r>
    </w:p>
    <w:p w:rsidR="000A5F03" w:rsidRDefault="000A5F03">
      <w:pPr>
        <w:spacing w:line="560" w:lineRule="exact"/>
        <w:ind w:firstLineChars="200" w:firstLine="640"/>
        <w:rPr>
          <w:rFonts w:ascii="Times New Roman" w:eastAsia="仿宋_GB2312" w:hAnsi="Times New Roman"/>
          <w:bCs/>
          <w:color w:val="0D0509"/>
          <w:sz w:val="32"/>
        </w:rPr>
      </w:pPr>
      <w:r>
        <w:rPr>
          <w:rFonts w:ascii="Times New Roman" w:eastAsia="仿宋_GB2312" w:hAnsi="Times New Roman" w:hint="eastAsia"/>
          <w:bCs/>
          <w:color w:val="0D0509"/>
          <w:sz w:val="32"/>
        </w:rPr>
        <w:t>业务咨询：</w:t>
      </w:r>
      <w:r>
        <w:rPr>
          <w:rFonts w:ascii="Times New Roman" w:eastAsia="仿宋_GB2312" w:hAnsi="Times New Roman"/>
          <w:bCs/>
          <w:color w:val="0D0509"/>
          <w:sz w:val="32"/>
        </w:rPr>
        <w:t>0451-82628379</w:t>
      </w:r>
      <w:r>
        <w:rPr>
          <w:rFonts w:ascii="Times New Roman" w:eastAsia="仿宋_GB2312" w:hAnsi="Times New Roman" w:hint="eastAsia"/>
          <w:bCs/>
          <w:color w:val="0D0509"/>
          <w:sz w:val="32"/>
        </w:rPr>
        <w:t>，</w:t>
      </w:r>
      <w:r>
        <w:rPr>
          <w:rFonts w:ascii="Times New Roman" w:eastAsia="仿宋_GB2312" w:hAnsi="Times New Roman"/>
          <w:bCs/>
          <w:color w:val="0D0509"/>
          <w:sz w:val="32"/>
        </w:rPr>
        <w:t>82634913</w:t>
      </w:r>
      <w:r>
        <w:rPr>
          <w:rFonts w:ascii="Times New Roman" w:eastAsia="仿宋_GB2312" w:hAnsi="Times New Roman" w:hint="eastAsia"/>
          <w:bCs/>
          <w:color w:val="0D0509"/>
          <w:sz w:val="32"/>
        </w:rPr>
        <w:t>。</w:t>
      </w:r>
    </w:p>
    <w:p w:rsidR="000A5F03" w:rsidRDefault="000A5F03">
      <w:pPr>
        <w:spacing w:line="560" w:lineRule="exact"/>
        <w:ind w:firstLineChars="200" w:firstLine="643"/>
        <w:rPr>
          <w:rFonts w:ascii="Times New Roman" w:eastAsia="黑体" w:hAnsi="Times New Roman"/>
          <w:b/>
          <w:sz w:val="32"/>
          <w:szCs w:val="32"/>
        </w:rPr>
      </w:pPr>
      <w:r>
        <w:rPr>
          <w:rFonts w:ascii="Times New Roman" w:eastAsia="楷体_GB2312" w:hAnsi="Times New Roman" w:hint="eastAsia"/>
          <w:b/>
          <w:color w:val="0D0509"/>
          <w:sz w:val="32"/>
        </w:rPr>
        <w:t>（一）新材料技术</w:t>
      </w:r>
      <w:r>
        <w:rPr>
          <w:rFonts w:ascii="Times New Roman" w:eastAsia="仿宋_GB2312" w:hAnsi="Times New Roman"/>
          <w:b/>
          <w:sz w:val="32"/>
          <w:szCs w:val="32"/>
        </w:rPr>
        <w:tab/>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w:t>
      </w:r>
      <w:r>
        <w:rPr>
          <w:rFonts w:ascii="Times New Roman" w:eastAsia="仿宋_GB2312" w:hAnsi="Times New Roman" w:hint="eastAsia"/>
          <w:b/>
          <w:sz w:val="32"/>
          <w:szCs w:val="32"/>
        </w:rPr>
        <w:t>清水砼节能复合墙板装配集成关键技术研究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严寒地区装配式房屋建筑造价高、节能效果不理想、市场难以接受的现状，采用现场预制、清水砼饰面的复合保温墙板装配体系，可降低成本并减少外饰面涂层，达到市场接受程度。该技术关健是现场预制、节能和安装的工艺问题，重点解决研究锚固粘结件的类型及分布的科学性；试验保温材料取值的合理性；节能复合墙板窗户辅框与隐形窗的研究；研究预埋件、吊装件摆放及焊接的有关技术；探究预制、吊装、拼装节能复合墙板的施工工艺。</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考核指标：完成不小于</w:t>
      </w:r>
      <w:r>
        <w:rPr>
          <w:rFonts w:ascii="Times New Roman" w:eastAsia="仿宋_GB2312" w:hAnsi="Times New Roman"/>
          <w:sz w:val="32"/>
          <w:szCs w:val="32"/>
        </w:rPr>
        <w:t>20000</w:t>
      </w:r>
      <w:r>
        <w:rPr>
          <w:rFonts w:ascii="Times New Roman" w:eastAsia="仿宋_GB2312" w:hAnsi="Times New Roman" w:hint="eastAsia"/>
          <w:sz w:val="32"/>
          <w:szCs w:val="32"/>
        </w:rPr>
        <w:t>㎡预制装配节能复合墙的试验工程，并检验其整体性能；墙体外表面满足清水饰面砼相关要求；进行相关承载力试验，验证墙体满足规程规范的要求；窗户导热系数满足</w:t>
      </w:r>
      <w:r>
        <w:rPr>
          <w:rFonts w:ascii="Times New Roman" w:eastAsia="仿宋_GB2312" w:hAnsi="Times New Roman"/>
          <w:sz w:val="32"/>
          <w:szCs w:val="32"/>
        </w:rPr>
        <w:t>1.0</w:t>
      </w:r>
      <w:r>
        <w:rPr>
          <w:rFonts w:ascii="Times New Roman" w:eastAsia="仿宋_GB2312" w:hAnsi="Times New Roman" w:hint="eastAsia"/>
          <w:sz w:val="32"/>
          <w:szCs w:val="32"/>
        </w:rPr>
        <w:t>以下热工性能要求；墙体满足节能</w:t>
      </w:r>
      <w:r>
        <w:rPr>
          <w:rFonts w:ascii="Times New Roman" w:eastAsia="仿宋_GB2312" w:hAnsi="Times New Roman"/>
          <w:sz w:val="32"/>
          <w:szCs w:val="32"/>
        </w:rPr>
        <w:t>70%</w:t>
      </w:r>
      <w:r>
        <w:rPr>
          <w:rFonts w:ascii="Times New Roman" w:eastAsia="仿宋_GB2312" w:hAnsi="Times New Roman" w:hint="eastAsia"/>
          <w:sz w:val="32"/>
          <w:szCs w:val="32"/>
        </w:rPr>
        <w:t>以上热工性能要求。</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楷体_GB2312" w:hAnsi="Times New Roman" w:hint="eastAsia"/>
          <w:b/>
          <w:color w:val="0D0509"/>
          <w:sz w:val="32"/>
        </w:rPr>
        <w:t>（二）新能源技术</w:t>
      </w:r>
      <w:r>
        <w:rPr>
          <w:rFonts w:ascii="Times New Roman" w:eastAsia="仿宋_GB2312" w:hAnsi="Times New Roman"/>
          <w:b/>
          <w:sz w:val="32"/>
          <w:szCs w:val="32"/>
        </w:rPr>
        <w:tab/>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2.</w:t>
      </w:r>
      <w:r>
        <w:rPr>
          <w:rFonts w:ascii="Times New Roman" w:eastAsia="仿宋_GB2312" w:hAnsi="Times New Roman" w:hint="eastAsia"/>
          <w:b/>
          <w:sz w:val="32"/>
          <w:szCs w:val="32"/>
        </w:rPr>
        <w:t>高效清洁生物质锅炉及系统集成技术研究和工程应用</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我省生物质发电利用存在问题，尤其是黄秸秆纯烧难、腐蚀结渣严重、连续运行时间短等问题开展研究，开发高参数、低排放、高可靠性的生物质锅炉及系统，并进行工程应用。生物质高效利用技术研究：解决以往锅炉参数低、机组效率低问题，重点提升锅炉参数、锅炉系统集成优化，攻克锅炉传热、温度调节等难点，完成锅炉整体布置方案和配套系统集成优化；清洁利用技术研究：解决现有生物质锅炉</w:t>
      </w:r>
      <w:r>
        <w:rPr>
          <w:rFonts w:ascii="Times New Roman" w:eastAsia="仿宋_GB2312" w:hAnsi="Times New Roman"/>
          <w:sz w:val="32"/>
          <w:szCs w:val="32"/>
        </w:rPr>
        <w:t>NOx</w:t>
      </w:r>
      <w:r>
        <w:rPr>
          <w:rFonts w:ascii="Times New Roman" w:eastAsia="仿宋_GB2312" w:hAnsi="Times New Roman" w:hint="eastAsia"/>
          <w:sz w:val="32"/>
          <w:szCs w:val="32"/>
        </w:rPr>
        <w:t>排放高问题，攻克炉内燃烧</w:t>
      </w:r>
      <w:r>
        <w:rPr>
          <w:rFonts w:ascii="Times New Roman" w:eastAsia="仿宋_GB2312" w:hAnsi="Times New Roman"/>
          <w:sz w:val="32"/>
          <w:szCs w:val="32"/>
        </w:rPr>
        <w:t>NOx</w:t>
      </w:r>
      <w:r>
        <w:rPr>
          <w:rFonts w:ascii="Times New Roman" w:eastAsia="仿宋_GB2312" w:hAnsi="Times New Roman" w:hint="eastAsia"/>
          <w:sz w:val="32"/>
          <w:szCs w:val="32"/>
        </w:rPr>
        <w:t>生成和控制难题，形成低</w:t>
      </w:r>
      <w:r>
        <w:rPr>
          <w:rFonts w:ascii="Times New Roman" w:eastAsia="仿宋_GB2312" w:hAnsi="Times New Roman"/>
          <w:sz w:val="32"/>
          <w:szCs w:val="32"/>
        </w:rPr>
        <w:t>NOx</w:t>
      </w:r>
      <w:r>
        <w:rPr>
          <w:rFonts w:ascii="Times New Roman" w:eastAsia="仿宋_GB2312" w:hAnsi="Times New Roman" w:hint="eastAsia"/>
          <w:sz w:val="32"/>
          <w:szCs w:val="32"/>
        </w:rPr>
        <w:t>生物质燃烧与控制技术；高可靠性技术研究：针对生物质锅炉燃烧时结渣、腐蚀爆管等问题导致锅炉可靠性低问题，攻克受热面结渣腐蚀难点，形成防止结渣、避免腐蚀爆管技术；防止高低温腐蚀技术研究：针对生物质燃烧时引起的酸腐蚀问题，攻克高低温腐蚀难题，形成防腐蚀技术研究；给料系统技术研究：针对目前生物质电厂给料系统故障多、可靠性差等问题，研究开发可靠性高、自动化程度高的给料技术；系统集成技术研究：重点研究锅炉与火电厂系统集成技术等，为工程应用打好基础。</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考核指标：开发一次再热高效清洁生物质直燃锅炉技术及方案；锅炉出力</w:t>
      </w:r>
      <w:r>
        <w:rPr>
          <w:rFonts w:ascii="Times New Roman" w:eastAsia="仿宋_GB2312" w:hAnsi="Times New Roman"/>
          <w:sz w:val="32"/>
          <w:szCs w:val="32"/>
        </w:rPr>
        <w:t>130t/h</w:t>
      </w:r>
      <w:r>
        <w:rPr>
          <w:rFonts w:ascii="Times New Roman" w:eastAsia="仿宋_GB2312" w:hAnsi="Times New Roman" w:hint="eastAsia"/>
          <w:sz w:val="32"/>
          <w:szCs w:val="32"/>
        </w:rPr>
        <w:t>等级，锅炉主蒸汽和再热蒸汽温度</w:t>
      </w:r>
      <w:r>
        <w:rPr>
          <w:rFonts w:ascii="Times New Roman" w:eastAsia="仿宋_GB2312" w:hAnsi="Times New Roman"/>
          <w:sz w:val="32"/>
          <w:szCs w:val="32"/>
        </w:rPr>
        <w:t>540</w:t>
      </w:r>
      <w:r>
        <w:rPr>
          <w:rFonts w:ascii="宋体" w:hAnsi="宋体" w:cs="宋体" w:hint="eastAsia"/>
          <w:sz w:val="32"/>
          <w:szCs w:val="32"/>
        </w:rPr>
        <w:t>℃</w:t>
      </w:r>
      <w:r>
        <w:rPr>
          <w:rFonts w:ascii="Times New Roman" w:eastAsia="仿宋_GB2312" w:hAnsi="Times New Roman" w:hint="eastAsia"/>
          <w:sz w:val="32"/>
          <w:szCs w:val="32"/>
        </w:rPr>
        <w:t>，锅炉主蒸汽压力</w:t>
      </w:r>
      <w:r>
        <w:rPr>
          <w:rFonts w:ascii="Times New Roman" w:eastAsia="仿宋_GB2312" w:hAnsi="Times New Roman"/>
          <w:sz w:val="32"/>
          <w:szCs w:val="32"/>
        </w:rPr>
        <w:t>13.7MPa</w:t>
      </w:r>
      <w:r>
        <w:rPr>
          <w:rFonts w:ascii="Times New Roman" w:eastAsia="仿宋_GB2312" w:hAnsi="Times New Roman" w:hint="eastAsia"/>
          <w:sz w:val="32"/>
          <w:szCs w:val="32"/>
        </w:rPr>
        <w:t>，锅炉热效率＞</w:t>
      </w:r>
      <w:r>
        <w:rPr>
          <w:rFonts w:ascii="Times New Roman" w:eastAsia="仿宋_GB2312" w:hAnsi="Times New Roman"/>
          <w:sz w:val="32"/>
          <w:szCs w:val="32"/>
        </w:rPr>
        <w:t>90%</w:t>
      </w:r>
      <w:r>
        <w:rPr>
          <w:rFonts w:ascii="Times New Roman" w:eastAsia="仿宋_GB2312" w:hAnsi="Times New Roman" w:hint="eastAsia"/>
          <w:sz w:val="32"/>
          <w:szCs w:val="32"/>
        </w:rPr>
        <w:t>。</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3.</w:t>
      </w:r>
      <w:r>
        <w:rPr>
          <w:rFonts w:ascii="Times New Roman" w:eastAsia="仿宋_GB2312" w:hAnsi="Times New Roman" w:hint="eastAsia"/>
          <w:b/>
          <w:sz w:val="32"/>
          <w:szCs w:val="32"/>
        </w:rPr>
        <w:t>严寒地区中深层地源热泵供暖关键技术研究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为破解常规浅层地源热泵土壤温度低导致累积埋管长度剧增、机组能效低、土壤冷堆积等技术问题，通过试验工程重点解决研发符合严寒、寒冷地区地热取热和建筑采暖热负荷特点的中深层地源热泵供暖热能采集技术；分析地埋管换热器内外流体流动和传热，开展对中深层地源热泵供暖技术中的流体采集流动和传热研究；以哈尔滨某超低能耗办公建筑为载体，开展中深层地源热泵供暖示范；中深层地源热泵供暖系统设计方法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考核指标：技术可以缓解严寒、寒冷地区冷热负荷不平衡的问题，避免土壤出现冷堆积，使热泵机组能够长期稳定运行，换热器使用寿命达</w:t>
      </w:r>
      <w:r>
        <w:rPr>
          <w:rFonts w:ascii="Times New Roman" w:eastAsia="仿宋_GB2312" w:hAnsi="Times New Roman"/>
          <w:sz w:val="32"/>
          <w:szCs w:val="32"/>
        </w:rPr>
        <w:t>20</w:t>
      </w:r>
      <w:r>
        <w:rPr>
          <w:rFonts w:ascii="Times New Roman" w:eastAsia="仿宋_GB2312" w:hAnsi="Times New Roman" w:hint="eastAsia"/>
          <w:sz w:val="32"/>
          <w:szCs w:val="32"/>
        </w:rPr>
        <w:t>年以上；改进的换热器需要实现绿色建筑的</w:t>
      </w:r>
      <w:r>
        <w:rPr>
          <w:rFonts w:ascii="Times New Roman" w:eastAsia="仿宋_GB2312" w:hAnsi="Times New Roman"/>
          <w:sz w:val="32"/>
          <w:szCs w:val="32"/>
        </w:rPr>
        <w:t>“</w:t>
      </w:r>
      <w:r>
        <w:rPr>
          <w:rFonts w:ascii="Times New Roman" w:eastAsia="仿宋_GB2312" w:hAnsi="Times New Roman" w:hint="eastAsia"/>
          <w:sz w:val="32"/>
          <w:szCs w:val="32"/>
        </w:rPr>
        <w:t>节能</w:t>
      </w:r>
      <w:r>
        <w:rPr>
          <w:rFonts w:ascii="Times New Roman" w:eastAsia="仿宋_GB2312" w:hAnsi="Times New Roman"/>
          <w:sz w:val="32"/>
          <w:szCs w:val="32"/>
        </w:rPr>
        <w:t>”</w:t>
      </w:r>
      <w:r>
        <w:rPr>
          <w:rFonts w:ascii="Times New Roman" w:eastAsia="仿宋_GB2312" w:hAnsi="Times New Roman" w:hint="eastAsia"/>
          <w:sz w:val="32"/>
          <w:szCs w:val="32"/>
        </w:rPr>
        <w:t>要求，增加换热器的换热量，使地源热泵系统更加高效；示范建筑面积不小于</w:t>
      </w:r>
      <w:r>
        <w:rPr>
          <w:rFonts w:ascii="Times New Roman" w:eastAsia="仿宋_GB2312" w:hAnsi="Times New Roman"/>
          <w:sz w:val="32"/>
          <w:szCs w:val="32"/>
        </w:rPr>
        <w:t>20,000m2</w:t>
      </w:r>
      <w:r>
        <w:rPr>
          <w:rFonts w:ascii="Times New Roman" w:eastAsia="仿宋_GB2312" w:hAnsi="Times New Roman" w:hint="eastAsia"/>
          <w:sz w:val="32"/>
          <w:szCs w:val="32"/>
        </w:rPr>
        <w:t>，且有至少一个供暖季的完整运行数据；为评估严寒地区复杂地质条件下地源换热器的最佳埋深及换热量，实验热源井至少包括</w:t>
      </w:r>
      <w:r>
        <w:rPr>
          <w:rFonts w:ascii="Times New Roman" w:eastAsia="仿宋_GB2312" w:hAnsi="Times New Roman"/>
          <w:sz w:val="32"/>
          <w:szCs w:val="32"/>
        </w:rPr>
        <w:t>500m</w:t>
      </w:r>
      <w:r>
        <w:rPr>
          <w:rFonts w:ascii="Times New Roman" w:eastAsia="仿宋_GB2312" w:hAnsi="Times New Roman" w:hint="eastAsia"/>
          <w:sz w:val="32"/>
          <w:szCs w:val="32"/>
        </w:rPr>
        <w:t>、</w:t>
      </w:r>
      <w:r>
        <w:rPr>
          <w:rFonts w:ascii="Times New Roman" w:eastAsia="仿宋_GB2312" w:hAnsi="Times New Roman"/>
          <w:sz w:val="32"/>
          <w:szCs w:val="32"/>
        </w:rPr>
        <w:t>1000m</w:t>
      </w:r>
      <w:r>
        <w:rPr>
          <w:rFonts w:ascii="Times New Roman" w:eastAsia="仿宋_GB2312" w:hAnsi="Times New Roman" w:hint="eastAsia"/>
          <w:sz w:val="32"/>
          <w:szCs w:val="32"/>
        </w:rPr>
        <w:t>、</w:t>
      </w:r>
      <w:r>
        <w:rPr>
          <w:rFonts w:ascii="Times New Roman" w:eastAsia="仿宋_GB2312" w:hAnsi="Times New Roman"/>
          <w:sz w:val="32"/>
          <w:szCs w:val="32"/>
        </w:rPr>
        <w:t>2000m</w:t>
      </w:r>
      <w:r>
        <w:rPr>
          <w:rFonts w:ascii="Times New Roman" w:eastAsia="仿宋_GB2312" w:hAnsi="Times New Roman" w:hint="eastAsia"/>
          <w:sz w:val="32"/>
          <w:szCs w:val="32"/>
        </w:rPr>
        <w:t>三个等级深度。</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4.</w:t>
      </w:r>
      <w:r>
        <w:rPr>
          <w:rFonts w:ascii="Times New Roman" w:eastAsia="仿宋_GB2312" w:hAnsi="Times New Roman" w:hint="eastAsia"/>
          <w:b/>
          <w:sz w:val="32"/>
          <w:szCs w:val="32"/>
        </w:rPr>
        <w:t>基于纳米球形</w:t>
      </w:r>
      <w:r>
        <w:rPr>
          <w:rFonts w:ascii="Times New Roman" w:eastAsia="仿宋_GB2312" w:hAnsi="Times New Roman"/>
          <w:b/>
          <w:sz w:val="32"/>
          <w:szCs w:val="32"/>
        </w:rPr>
        <w:t>YSZ</w:t>
      </w:r>
      <w:r>
        <w:rPr>
          <w:rFonts w:ascii="Times New Roman" w:eastAsia="仿宋_GB2312" w:hAnsi="Times New Roman" w:hint="eastAsia"/>
          <w:b/>
          <w:sz w:val="32"/>
          <w:szCs w:val="32"/>
        </w:rPr>
        <w:t>的高性能固体氧化物燃料电池</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研究内容：为解决我国</w:t>
      </w:r>
      <w:r>
        <w:rPr>
          <w:rFonts w:ascii="Times New Roman" w:eastAsia="仿宋_GB2312" w:hAnsi="Times New Roman"/>
          <w:sz w:val="32"/>
          <w:szCs w:val="32"/>
        </w:rPr>
        <w:t>SOFC</w:t>
      </w:r>
      <w:r>
        <w:rPr>
          <w:rFonts w:ascii="Times New Roman" w:eastAsia="仿宋_GB2312" w:hAnsi="Times New Roman" w:hint="eastAsia"/>
          <w:sz w:val="32"/>
          <w:szCs w:val="32"/>
        </w:rPr>
        <w:t>从关键材料、芯片制造、电堆技术等方面均与美日德俄等国家存在较大差距，关键技术无创新和突破的状态。研究弱聚集</w:t>
      </w:r>
      <w:r>
        <w:rPr>
          <w:rFonts w:ascii="Times New Roman" w:eastAsia="仿宋_GB2312" w:hAnsi="Times New Roman"/>
          <w:sz w:val="32"/>
          <w:szCs w:val="32"/>
        </w:rPr>
        <w:t>YSZ</w:t>
      </w:r>
      <w:r>
        <w:rPr>
          <w:rFonts w:ascii="Times New Roman" w:eastAsia="仿宋_GB2312" w:hAnsi="Times New Roman" w:hint="eastAsia"/>
          <w:sz w:val="32"/>
          <w:szCs w:val="32"/>
        </w:rPr>
        <w:t>纳米球激光法制备技术，采用激光照射蒸发法制备球形纳米</w:t>
      </w:r>
      <w:r>
        <w:rPr>
          <w:rFonts w:ascii="Times New Roman" w:eastAsia="仿宋_GB2312" w:hAnsi="Times New Roman"/>
          <w:sz w:val="32"/>
          <w:szCs w:val="32"/>
        </w:rPr>
        <w:t>YSZ</w:t>
      </w:r>
      <w:r>
        <w:rPr>
          <w:rFonts w:ascii="Times New Roman" w:eastAsia="仿宋_GB2312" w:hAnsi="Times New Roman" w:hint="eastAsia"/>
          <w:sz w:val="32"/>
          <w:szCs w:val="32"/>
        </w:rPr>
        <w:t>电解质，优化脉冲时间和照射功率，实现</w:t>
      </w:r>
      <w:r>
        <w:rPr>
          <w:rFonts w:ascii="Times New Roman" w:eastAsia="仿宋_GB2312" w:hAnsi="Times New Roman"/>
          <w:sz w:val="32"/>
          <w:szCs w:val="32"/>
        </w:rPr>
        <w:t>YSZ</w:t>
      </w:r>
      <w:r>
        <w:rPr>
          <w:rFonts w:ascii="Times New Roman" w:eastAsia="仿宋_GB2312" w:hAnsi="Times New Roman" w:hint="eastAsia"/>
          <w:sz w:val="32"/>
          <w:szCs w:val="32"/>
        </w:rPr>
        <w:t>粒径和形貌的控制；基于纳米球形</w:t>
      </w:r>
      <w:r>
        <w:rPr>
          <w:rFonts w:ascii="Times New Roman" w:eastAsia="仿宋_GB2312" w:hAnsi="Times New Roman"/>
          <w:sz w:val="32"/>
          <w:szCs w:val="32"/>
        </w:rPr>
        <w:t>YSZ</w:t>
      </w:r>
      <w:r>
        <w:rPr>
          <w:rFonts w:ascii="Times New Roman" w:eastAsia="仿宋_GB2312" w:hAnsi="Times New Roman" w:hint="eastAsia"/>
          <w:sz w:val="32"/>
          <w:szCs w:val="32"/>
        </w:rPr>
        <w:t>电解质材料的</w:t>
      </w:r>
      <w:r>
        <w:rPr>
          <w:rFonts w:ascii="Times New Roman" w:eastAsia="仿宋_GB2312" w:hAnsi="Times New Roman"/>
          <w:sz w:val="32"/>
          <w:szCs w:val="32"/>
        </w:rPr>
        <w:t>SOFC</w:t>
      </w:r>
      <w:r>
        <w:rPr>
          <w:rFonts w:ascii="Times New Roman" w:eastAsia="仿宋_GB2312" w:hAnsi="Times New Roman" w:hint="eastAsia"/>
          <w:sz w:val="32"/>
          <w:szCs w:val="32"/>
        </w:rPr>
        <w:t>芯片的制备工艺，优化芯片的性能；研究</w:t>
      </w:r>
      <w:r>
        <w:rPr>
          <w:rFonts w:ascii="Times New Roman" w:eastAsia="仿宋_GB2312" w:hAnsi="Times New Roman"/>
          <w:sz w:val="32"/>
          <w:szCs w:val="32"/>
        </w:rPr>
        <w:t>1kW</w:t>
      </w:r>
      <w:r>
        <w:rPr>
          <w:rFonts w:ascii="Times New Roman" w:eastAsia="仿宋_GB2312" w:hAnsi="Times New Roman" w:hint="eastAsia"/>
          <w:sz w:val="32"/>
          <w:szCs w:val="32"/>
        </w:rPr>
        <w:t>规模</w:t>
      </w:r>
      <w:r>
        <w:rPr>
          <w:rFonts w:ascii="Times New Roman" w:eastAsia="仿宋_GB2312" w:hAnsi="Times New Roman"/>
          <w:sz w:val="32"/>
          <w:szCs w:val="32"/>
        </w:rPr>
        <w:t>SOFC</w:t>
      </w:r>
      <w:r>
        <w:rPr>
          <w:rFonts w:ascii="Times New Roman" w:eastAsia="仿宋_GB2312" w:hAnsi="Times New Roman" w:hint="eastAsia"/>
          <w:sz w:val="32"/>
          <w:szCs w:val="32"/>
        </w:rPr>
        <w:t>电堆的制备及其与辅助系统的集成和匹配，优化电池系统的性能。</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考核指标：开发出激光照射法制备弱聚集体</w:t>
      </w:r>
      <w:r>
        <w:rPr>
          <w:rFonts w:ascii="Times New Roman" w:eastAsia="仿宋_GB2312" w:hAnsi="Times New Roman"/>
          <w:sz w:val="32"/>
          <w:szCs w:val="32"/>
        </w:rPr>
        <w:t>YSZ</w:t>
      </w:r>
      <w:r>
        <w:rPr>
          <w:rFonts w:ascii="Times New Roman" w:eastAsia="仿宋_GB2312" w:hAnsi="Times New Roman" w:hint="eastAsia"/>
          <w:sz w:val="32"/>
          <w:szCs w:val="32"/>
        </w:rPr>
        <w:t>纳米球技术及其制备装置，球的</w:t>
      </w:r>
      <w:r>
        <w:rPr>
          <w:rFonts w:ascii="Times New Roman" w:eastAsia="仿宋_GB2312" w:hAnsi="Times New Roman"/>
          <w:sz w:val="32"/>
          <w:szCs w:val="32"/>
        </w:rPr>
        <w:t xml:space="preserve"> </w:t>
      </w:r>
      <w:r>
        <w:rPr>
          <w:rFonts w:ascii="Times New Roman" w:eastAsia="仿宋_GB2312" w:hAnsi="Times New Roman" w:hint="eastAsia"/>
          <w:sz w:val="32"/>
          <w:szCs w:val="32"/>
        </w:rPr>
        <w:t>平均粒径</w:t>
      </w:r>
      <w:r>
        <w:rPr>
          <w:rFonts w:ascii="Times New Roman" w:eastAsia="仿宋_GB2312" w:hAnsi="Times New Roman"/>
          <w:sz w:val="32"/>
          <w:szCs w:val="32"/>
        </w:rPr>
        <w:t>~20</w:t>
      </w:r>
      <w:r>
        <w:rPr>
          <w:rFonts w:ascii="Times New Roman" w:eastAsia="仿宋_GB2312" w:hAnsi="Times New Roman" w:hint="eastAsia"/>
          <w:sz w:val="32"/>
          <w:szCs w:val="32"/>
        </w:rPr>
        <w:t>纳米，装备实现国产化；开发出基于纳米球</w:t>
      </w:r>
      <w:r>
        <w:rPr>
          <w:rFonts w:ascii="Times New Roman" w:eastAsia="仿宋_GB2312" w:hAnsi="Times New Roman"/>
          <w:sz w:val="32"/>
          <w:szCs w:val="32"/>
        </w:rPr>
        <w:t>YSZ</w:t>
      </w:r>
      <w:r>
        <w:rPr>
          <w:rFonts w:ascii="Times New Roman" w:eastAsia="仿宋_GB2312" w:hAnsi="Times New Roman" w:hint="eastAsia"/>
          <w:sz w:val="32"/>
          <w:szCs w:val="32"/>
        </w:rPr>
        <w:t>的</w:t>
      </w:r>
      <w:r>
        <w:rPr>
          <w:rFonts w:ascii="Times New Roman" w:eastAsia="仿宋_GB2312" w:hAnsi="Times New Roman"/>
          <w:sz w:val="32"/>
          <w:szCs w:val="32"/>
        </w:rPr>
        <w:t>SOFC</w:t>
      </w:r>
      <w:r>
        <w:rPr>
          <w:rFonts w:ascii="Times New Roman" w:eastAsia="仿宋_GB2312" w:hAnsi="Times New Roman" w:hint="eastAsia"/>
          <w:sz w:val="32"/>
          <w:szCs w:val="32"/>
        </w:rPr>
        <w:t>芯片制备技术，单个芯片电效率达</w:t>
      </w:r>
      <w:r>
        <w:rPr>
          <w:rFonts w:ascii="Times New Roman" w:eastAsia="仿宋_GB2312" w:hAnsi="Times New Roman"/>
          <w:sz w:val="32"/>
          <w:szCs w:val="32"/>
        </w:rPr>
        <w:t>0.4 W/cm2</w:t>
      </w:r>
      <w:r>
        <w:rPr>
          <w:rFonts w:ascii="Times New Roman" w:eastAsia="仿宋_GB2312" w:hAnsi="Times New Roman" w:hint="eastAsia"/>
          <w:sz w:val="32"/>
          <w:szCs w:val="32"/>
        </w:rPr>
        <w:t>；开发出</w:t>
      </w:r>
      <w:r>
        <w:rPr>
          <w:rFonts w:ascii="Times New Roman" w:eastAsia="仿宋_GB2312" w:hAnsi="Times New Roman"/>
          <w:sz w:val="32"/>
          <w:szCs w:val="32"/>
        </w:rPr>
        <w:t>1kW</w:t>
      </w:r>
      <w:r>
        <w:rPr>
          <w:rFonts w:ascii="Times New Roman" w:eastAsia="仿宋_GB2312" w:hAnsi="Times New Roman" w:hint="eastAsia"/>
          <w:sz w:val="32"/>
          <w:szCs w:val="32"/>
        </w:rPr>
        <w:t>的</w:t>
      </w:r>
      <w:r>
        <w:rPr>
          <w:rFonts w:ascii="Times New Roman" w:eastAsia="仿宋_GB2312" w:hAnsi="Times New Roman"/>
          <w:sz w:val="32"/>
          <w:szCs w:val="32"/>
        </w:rPr>
        <w:t>SOFC</w:t>
      </w:r>
      <w:r>
        <w:rPr>
          <w:rFonts w:ascii="Times New Roman" w:eastAsia="仿宋_GB2312" w:hAnsi="Times New Roman" w:hint="eastAsia"/>
          <w:sz w:val="32"/>
          <w:szCs w:val="32"/>
        </w:rPr>
        <w:t>电堆基础单元，电堆功率密度达</w:t>
      </w:r>
      <w:r>
        <w:rPr>
          <w:rFonts w:ascii="Times New Roman" w:eastAsia="仿宋_GB2312" w:hAnsi="Times New Roman"/>
          <w:sz w:val="32"/>
          <w:szCs w:val="32"/>
        </w:rPr>
        <w:t>5kW/L</w:t>
      </w:r>
      <w:r>
        <w:rPr>
          <w:rFonts w:ascii="Times New Roman" w:eastAsia="仿宋_GB2312" w:hAnsi="Times New Roman" w:hint="eastAsia"/>
          <w:sz w:val="32"/>
          <w:szCs w:val="32"/>
        </w:rPr>
        <w:t>，使用寿命达</w:t>
      </w:r>
      <w:r>
        <w:rPr>
          <w:rFonts w:ascii="Times New Roman" w:eastAsia="仿宋_GB2312" w:hAnsi="Times New Roman"/>
          <w:sz w:val="32"/>
          <w:szCs w:val="32"/>
        </w:rPr>
        <w:t xml:space="preserve"> 10</w:t>
      </w:r>
      <w:r>
        <w:rPr>
          <w:rFonts w:ascii="Times New Roman" w:eastAsia="仿宋_GB2312" w:hAnsi="Times New Roman" w:hint="eastAsia"/>
          <w:sz w:val="32"/>
          <w:szCs w:val="32"/>
        </w:rPr>
        <w:t>年以上。</w:t>
      </w:r>
    </w:p>
    <w:p w:rsidR="000A5F03" w:rsidRDefault="000A5F03">
      <w:pPr>
        <w:numPr>
          <w:ilvl w:val="0"/>
          <w:numId w:val="1"/>
        </w:numPr>
        <w:spacing w:line="560" w:lineRule="exact"/>
        <w:ind w:firstLineChars="200" w:firstLine="643"/>
        <w:rPr>
          <w:rFonts w:ascii="Times New Roman" w:eastAsia="楷体_GB2312" w:hAnsi="Times New Roman"/>
          <w:b/>
          <w:color w:val="0D0509"/>
          <w:sz w:val="32"/>
        </w:rPr>
      </w:pPr>
      <w:r>
        <w:rPr>
          <w:rFonts w:ascii="Times New Roman" w:eastAsia="楷体_GB2312" w:hAnsi="Times New Roman" w:hint="eastAsia"/>
          <w:b/>
          <w:color w:val="0D0509"/>
          <w:sz w:val="32"/>
        </w:rPr>
        <w:t>高端装备技术</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5.</w:t>
      </w:r>
      <w:r>
        <w:rPr>
          <w:rFonts w:ascii="Times New Roman" w:eastAsia="仿宋_GB2312" w:hAnsi="Times New Roman" w:hint="eastAsia"/>
          <w:b/>
          <w:sz w:val="32"/>
          <w:szCs w:val="32"/>
        </w:rPr>
        <w:t>高档智能化木结构梁柱加工数控机床关键技术研究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我省是国家木窗木屋龙头最大的加工基地和木工机械最强的研发中心，针对国外高价垄断高档木窗木屋专用加工中心市场，提出研制具有智能化保证实现木材顺纹顺铣精度高精度加工、防止切削出刀与入刀引起劈裂的木门窗、阳光房梁柱材等智能数控加工中心的专用设备，使我省在全国木窗、木屋、阳光房加工和制造处于技术领先的地位。带动我省作为国家俄罗斯木材引进的基地，国家集成材重点的生产基地，国家干燥机制造最强的省份的协同发展，开发研制集多功能数控智能化木窗木屋的专用加工中心。能够替代进口的大型加工中心的所有功能，一次装夹完成木梁等部件的所有加工面，完成我国阳光房、幕墙木框架、木门窗加工的智能化和自动化。采用智能化加工的集成与拼接技术，加工木结构用梁柱，达到提高出材率和生产效率，降低成本的目标。</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考核指标：木结构梁柱智能数控机床加工中心实现</w:t>
      </w:r>
      <w:r>
        <w:rPr>
          <w:rFonts w:ascii="Times New Roman" w:eastAsia="仿宋_GB2312" w:hAnsi="Times New Roman"/>
          <w:sz w:val="32"/>
          <w:szCs w:val="32"/>
        </w:rPr>
        <w:t>4</w:t>
      </w:r>
      <w:r>
        <w:rPr>
          <w:rFonts w:ascii="Times New Roman" w:eastAsia="仿宋_GB2312" w:hAnsi="Times New Roman" w:hint="eastAsia"/>
          <w:sz w:val="32"/>
          <w:szCs w:val="32"/>
        </w:rPr>
        <w:t>轴工作，具备开榫、钻孔、铣削、开槽等功能；一次装夹完成梁柱双面加工，数控加工中心具备智能化基本功能；利用小径材完成大型木梁柱的集成拼接工艺，实现出材率提高</w:t>
      </w:r>
      <w:r>
        <w:rPr>
          <w:rFonts w:ascii="Times New Roman" w:eastAsia="仿宋_GB2312" w:hAnsi="Times New Roman"/>
          <w:sz w:val="32"/>
          <w:szCs w:val="32"/>
        </w:rPr>
        <w:t>15%</w:t>
      </w:r>
      <w:r>
        <w:rPr>
          <w:rFonts w:ascii="Times New Roman" w:eastAsia="仿宋_GB2312" w:hAnsi="Times New Roman" w:hint="eastAsia"/>
          <w:sz w:val="32"/>
          <w:szCs w:val="32"/>
        </w:rPr>
        <w:t>；劳动生产率达比目前国产装备提高</w:t>
      </w:r>
      <w:r>
        <w:rPr>
          <w:rFonts w:ascii="Times New Roman" w:eastAsia="仿宋_GB2312" w:hAnsi="Times New Roman"/>
          <w:sz w:val="32"/>
          <w:szCs w:val="32"/>
        </w:rPr>
        <w:t>100%</w:t>
      </w:r>
      <w:r>
        <w:rPr>
          <w:rFonts w:ascii="Times New Roman" w:eastAsia="仿宋_GB2312" w:hAnsi="Times New Roman" w:hint="eastAsia"/>
          <w:sz w:val="32"/>
          <w:szCs w:val="32"/>
        </w:rPr>
        <w:t>。</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6.</w:t>
      </w:r>
      <w:r>
        <w:rPr>
          <w:rFonts w:ascii="Times New Roman" w:eastAsia="仿宋_GB2312" w:hAnsi="Times New Roman" w:hint="eastAsia"/>
          <w:b/>
          <w:sz w:val="32"/>
          <w:szCs w:val="32"/>
        </w:rPr>
        <w:t>无</w:t>
      </w:r>
      <w:r>
        <w:rPr>
          <w:rFonts w:ascii="Times New Roman" w:eastAsia="仿宋_GB2312" w:hAnsi="Times New Roman"/>
          <w:b/>
          <w:sz w:val="32"/>
          <w:szCs w:val="32"/>
        </w:rPr>
        <w:t>Cr</w:t>
      </w:r>
      <w:r>
        <w:rPr>
          <w:rFonts w:ascii="Times New Roman" w:eastAsia="仿宋_GB2312" w:hAnsi="Times New Roman" w:hint="eastAsia"/>
          <w:b/>
          <w:sz w:val="32"/>
          <w:szCs w:val="32"/>
        </w:rPr>
        <w:t>型高耐磨抗冲击堆焊材料研究开发</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在我国地铁隧道挖掘、工程机械、矿山机械、煤矿开采、水泥制造、钢铁冶金、石油钻井、火力发电等行业，磨损部件普遍采用在工件表面堆焊耐磨合金的方式提高使用寿命，目前国内的堆焊材料均采用高含</w:t>
      </w:r>
      <w:r>
        <w:rPr>
          <w:rFonts w:ascii="Times New Roman" w:eastAsia="仿宋_GB2312" w:hAnsi="Times New Roman"/>
          <w:sz w:val="32"/>
          <w:szCs w:val="32"/>
        </w:rPr>
        <w:t>Cr</w:t>
      </w:r>
      <w:r>
        <w:rPr>
          <w:rFonts w:ascii="Times New Roman" w:eastAsia="仿宋_GB2312" w:hAnsi="Times New Roman" w:hint="eastAsia"/>
          <w:sz w:val="32"/>
          <w:szCs w:val="32"/>
        </w:rPr>
        <w:t>量的堆焊材料，通过堆焊金属产生</w:t>
      </w:r>
      <w:r>
        <w:rPr>
          <w:rFonts w:ascii="Times New Roman" w:eastAsia="仿宋_GB2312" w:hAnsi="Times New Roman"/>
          <w:sz w:val="32"/>
          <w:szCs w:val="32"/>
        </w:rPr>
        <w:t>M7C3</w:t>
      </w:r>
      <w:r>
        <w:rPr>
          <w:rFonts w:ascii="Times New Roman" w:eastAsia="仿宋_GB2312" w:hAnsi="Times New Roman" w:hint="eastAsia"/>
          <w:sz w:val="32"/>
          <w:szCs w:val="32"/>
        </w:rPr>
        <w:t>型一次碳化物提高耐磨性，带来的问题是堆焊耐磨层开裂严重、抗冲击性能差、易产生剥落。国外最新开发的高耐磨性堆焊材料不含</w:t>
      </w:r>
      <w:r>
        <w:rPr>
          <w:rFonts w:ascii="Times New Roman" w:eastAsia="仿宋_GB2312" w:hAnsi="Times New Roman"/>
          <w:sz w:val="32"/>
          <w:szCs w:val="32"/>
        </w:rPr>
        <w:t>Cr</w:t>
      </w:r>
      <w:r>
        <w:rPr>
          <w:rFonts w:ascii="Times New Roman" w:eastAsia="仿宋_GB2312" w:hAnsi="Times New Roman" w:hint="eastAsia"/>
          <w:sz w:val="32"/>
          <w:szCs w:val="32"/>
        </w:rPr>
        <w:t>，具有优良的耐磨性和抗冲击性能，在我国地铁隧道挖掘、石油钻井开采等应用领域占据重要的市场份额，目前国内没有替代品，本项目通过对堆焊熔敷金属分析研究，开发出达到国外同类产品性能的堆焊药芯焊丝，以替代进口。</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考核指标：开发出硬度、耐磨性、抗冲击性能与国外同类产品相当的堆焊药芯焊丝，并实现工程应用。堆焊熔敷金属硬度</w:t>
      </w:r>
      <w:r>
        <w:rPr>
          <w:rFonts w:ascii="Times New Roman" w:eastAsia="仿宋_GB2312" w:hAnsi="Times New Roman"/>
          <w:sz w:val="32"/>
          <w:szCs w:val="32"/>
        </w:rPr>
        <w:t>≥HRC67</w:t>
      </w:r>
      <w:r>
        <w:rPr>
          <w:rFonts w:ascii="Times New Roman" w:eastAsia="仿宋_GB2312" w:hAnsi="Times New Roman" w:hint="eastAsia"/>
          <w:sz w:val="32"/>
          <w:szCs w:val="32"/>
        </w:rPr>
        <w:t>；干式磨粒磨损试验相对耐磨性</w:t>
      </w:r>
      <w:r>
        <w:rPr>
          <w:rFonts w:ascii="Times New Roman" w:eastAsia="仿宋_GB2312" w:hAnsi="Times New Roman"/>
          <w:sz w:val="32"/>
          <w:szCs w:val="32"/>
        </w:rPr>
        <w:t>ε=ΔG</w:t>
      </w:r>
      <w:r>
        <w:rPr>
          <w:rFonts w:ascii="Times New Roman" w:eastAsia="仿宋_GB2312" w:hAnsi="Times New Roman" w:hint="eastAsia"/>
          <w:sz w:val="32"/>
          <w:szCs w:val="32"/>
        </w:rPr>
        <w:t>（</w:t>
      </w:r>
      <w:r>
        <w:rPr>
          <w:rFonts w:ascii="Times New Roman" w:eastAsia="仿宋_GB2312" w:hAnsi="Times New Roman"/>
          <w:sz w:val="32"/>
          <w:szCs w:val="32"/>
        </w:rPr>
        <w:t>Q235</w:t>
      </w:r>
      <w:r>
        <w:rPr>
          <w:rFonts w:ascii="Times New Roman" w:eastAsia="仿宋_GB2312" w:hAnsi="Times New Roman" w:hint="eastAsia"/>
          <w:sz w:val="32"/>
          <w:szCs w:val="32"/>
        </w:rPr>
        <w:t>）</w:t>
      </w:r>
      <w:r>
        <w:rPr>
          <w:rFonts w:ascii="Times New Roman" w:eastAsia="仿宋_GB2312" w:hAnsi="Times New Roman"/>
          <w:sz w:val="32"/>
          <w:szCs w:val="32"/>
        </w:rPr>
        <w:t>/ΔG</w:t>
      </w:r>
      <w:r>
        <w:rPr>
          <w:rFonts w:ascii="Times New Roman" w:eastAsia="仿宋_GB2312" w:hAnsi="Times New Roman" w:hint="eastAsia"/>
          <w:sz w:val="32"/>
          <w:szCs w:val="32"/>
        </w:rPr>
        <w:t>（开发的堆焊熔敷金属）</w:t>
      </w:r>
      <w:r>
        <w:rPr>
          <w:rFonts w:ascii="Times New Roman" w:eastAsia="仿宋_GB2312" w:hAnsi="Times New Roman"/>
          <w:sz w:val="32"/>
          <w:szCs w:val="32"/>
        </w:rPr>
        <w:t>≥20</w:t>
      </w:r>
      <w:r>
        <w:rPr>
          <w:rFonts w:ascii="Times New Roman" w:eastAsia="仿宋_GB2312" w:hAnsi="Times New Roman" w:hint="eastAsia"/>
          <w:sz w:val="32"/>
          <w:szCs w:val="32"/>
        </w:rPr>
        <w:t>；开发的堆焊药芯焊丝工艺性能优良，焊丝飞溅率</w:t>
      </w:r>
      <w:r>
        <w:rPr>
          <w:rFonts w:ascii="Times New Roman" w:eastAsia="仿宋_GB2312" w:hAnsi="Times New Roman"/>
          <w:sz w:val="32"/>
          <w:szCs w:val="32"/>
        </w:rPr>
        <w:t>≤10%</w:t>
      </w:r>
      <w:r>
        <w:rPr>
          <w:rFonts w:ascii="Times New Roman" w:eastAsia="仿宋_GB2312" w:hAnsi="Times New Roman" w:hint="eastAsia"/>
          <w:sz w:val="32"/>
          <w:szCs w:val="32"/>
        </w:rPr>
        <w:t>。</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7.</w:t>
      </w:r>
      <w:r>
        <w:rPr>
          <w:rFonts w:ascii="Times New Roman" w:eastAsia="仿宋_GB2312" w:hAnsi="Times New Roman" w:hint="eastAsia"/>
          <w:b/>
          <w:sz w:val="32"/>
          <w:szCs w:val="32"/>
        </w:rPr>
        <w:t>全垫升减灾救援气垫船垫升系统开发</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研究中小型全垫升气垫船垫升系统内流场数值模拟技术，建立内流场模拟边界模型；研究中小型全垫升气垫船气垫流量系数、囊压比、飞高等关键参数之间的关系函数，完善能够用于中小型全垫升气垫船设计的垫升关键参数图谱；建立中小型全垫升气垫船气道系统优化布置方案，开发高性能垫升气囊围裙装备。</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考核指标：建立中小型全垫升气垫船垫升系统内流场数值模拟方法；开发新型垫升系统装备一套</w:t>
      </w:r>
      <w:r>
        <w:rPr>
          <w:rFonts w:ascii="Times New Roman" w:eastAsia="仿宋_GB2312" w:hAnsi="Times New Roman"/>
          <w:sz w:val="32"/>
          <w:szCs w:val="32"/>
        </w:rPr>
        <w:t>,</w:t>
      </w:r>
      <w:r>
        <w:rPr>
          <w:rFonts w:ascii="Times New Roman" w:eastAsia="仿宋_GB2312" w:hAnsi="Times New Roman" w:hint="eastAsia"/>
          <w:sz w:val="32"/>
          <w:szCs w:val="32"/>
        </w:rPr>
        <w:t>并应用于实船上，装备风道损失系数在</w:t>
      </w:r>
      <w:r>
        <w:rPr>
          <w:rFonts w:ascii="Times New Roman" w:eastAsia="仿宋_GB2312" w:hAnsi="Times New Roman"/>
          <w:sz w:val="32"/>
          <w:szCs w:val="32"/>
        </w:rPr>
        <w:t>3.5%</w:t>
      </w:r>
      <w:r>
        <w:rPr>
          <w:rFonts w:ascii="Times New Roman" w:eastAsia="仿宋_GB2312" w:hAnsi="Times New Roman" w:hint="eastAsia"/>
          <w:sz w:val="32"/>
          <w:szCs w:val="32"/>
        </w:rPr>
        <w:t>以内，气囊围裙与船体质量比在</w:t>
      </w:r>
      <w:r>
        <w:rPr>
          <w:rFonts w:ascii="Times New Roman" w:eastAsia="仿宋_GB2312" w:hAnsi="Times New Roman"/>
          <w:sz w:val="32"/>
          <w:szCs w:val="32"/>
        </w:rPr>
        <w:t>14%</w:t>
      </w:r>
      <w:r>
        <w:rPr>
          <w:rFonts w:ascii="Times New Roman" w:eastAsia="仿宋_GB2312" w:hAnsi="Times New Roman" w:hint="eastAsia"/>
          <w:sz w:val="32"/>
          <w:szCs w:val="32"/>
        </w:rPr>
        <w:t>以下，技术就绪度达到</w:t>
      </w:r>
      <w:r>
        <w:rPr>
          <w:rFonts w:ascii="Times New Roman" w:eastAsia="仿宋_GB2312" w:hAnsi="Times New Roman"/>
          <w:sz w:val="32"/>
          <w:szCs w:val="32"/>
        </w:rPr>
        <w:t>7-9</w:t>
      </w:r>
      <w:r>
        <w:rPr>
          <w:rFonts w:ascii="Times New Roman" w:eastAsia="仿宋_GB2312" w:hAnsi="Times New Roman" w:hint="eastAsia"/>
          <w:sz w:val="32"/>
          <w:szCs w:val="32"/>
        </w:rPr>
        <w:t>级；申报专利或软件著作权</w:t>
      </w:r>
      <w:r>
        <w:rPr>
          <w:rFonts w:ascii="Times New Roman" w:eastAsia="仿宋_GB2312" w:hAnsi="Times New Roman"/>
          <w:sz w:val="32"/>
          <w:szCs w:val="32"/>
        </w:rPr>
        <w:t>4-6</w:t>
      </w:r>
      <w:r>
        <w:rPr>
          <w:rFonts w:ascii="Times New Roman" w:eastAsia="仿宋_GB2312" w:hAnsi="Times New Roman" w:hint="eastAsia"/>
          <w:sz w:val="32"/>
          <w:szCs w:val="32"/>
        </w:rPr>
        <w:t>项，向国内外标准化组织提交的行业标准草案不少于</w:t>
      </w:r>
      <w:r>
        <w:rPr>
          <w:rFonts w:ascii="Times New Roman" w:eastAsia="仿宋_GB2312" w:hAnsi="Times New Roman"/>
          <w:sz w:val="32"/>
          <w:szCs w:val="32"/>
        </w:rPr>
        <w:t xml:space="preserve">2 </w:t>
      </w:r>
      <w:r>
        <w:rPr>
          <w:rFonts w:ascii="Times New Roman" w:eastAsia="仿宋_GB2312" w:hAnsi="Times New Roman" w:hint="eastAsia"/>
          <w:sz w:val="32"/>
          <w:szCs w:val="32"/>
        </w:rPr>
        <w:t>项。</w:t>
      </w:r>
    </w:p>
    <w:p w:rsidR="000A5F03" w:rsidRDefault="000A5F03">
      <w:pPr>
        <w:spacing w:line="560" w:lineRule="exact"/>
        <w:ind w:firstLineChars="200" w:firstLine="643"/>
        <w:rPr>
          <w:rFonts w:ascii="Times New Roman" w:eastAsia="楷体_GB2312" w:hAnsi="Times New Roman"/>
          <w:b/>
          <w:color w:val="0D0509"/>
          <w:sz w:val="32"/>
        </w:rPr>
      </w:pPr>
      <w:r>
        <w:rPr>
          <w:rFonts w:ascii="Times New Roman" w:eastAsia="楷体_GB2312" w:hAnsi="Times New Roman" w:hint="eastAsia"/>
          <w:b/>
          <w:color w:val="0D0509"/>
          <w:sz w:val="32"/>
        </w:rPr>
        <w:t>（四）先进轨道交通</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8.</w:t>
      </w:r>
      <w:r>
        <w:rPr>
          <w:rFonts w:ascii="Times New Roman" w:eastAsia="仿宋_GB2312" w:hAnsi="Times New Roman" w:hint="eastAsia"/>
          <w:b/>
          <w:sz w:val="32"/>
          <w:szCs w:val="32"/>
        </w:rPr>
        <w:t>寒区高速铁路轨下基础设施建造先进技术</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寒区高速铁路路基、边坡与隧道等重要轨下基础设施，研究路基防冻胀和减隔振技术并形成新型路基成套施工方法，发展边坡快速施工自动调节预应力锚固成套技术与轻型机械化支挡技术，提出隧道新型防冻</w:t>
      </w:r>
      <w:r>
        <w:rPr>
          <w:rFonts w:ascii="MS Mincho" w:eastAsia="MS Mincho" w:hAnsi="MS Mincho" w:cs="MS Mincho" w:hint="eastAsia"/>
          <w:sz w:val="32"/>
          <w:szCs w:val="32"/>
        </w:rPr>
        <w:t>‒</w:t>
      </w:r>
      <w:r>
        <w:rPr>
          <w:rFonts w:ascii="Times New Roman" w:eastAsia="仿宋_GB2312" w:hAnsi="Times New Roman" w:hint="eastAsia"/>
          <w:sz w:val="32"/>
          <w:szCs w:val="32"/>
        </w:rPr>
        <w:t>防渗复合式衬砌形式，研究基于高精度地质雷达的隧道施工状态在线多维度自动监测、实时诊断与风险智能辨识技术；研究轨下基础设施多灾害影响作用模型、智慧化应急协调及灾后恢复联动机制，开发轨下基础设施安全施工数据的关联分析、深度解析和融合利用技术，研发长寿命、高可靠性的轨下基础设施运行状态监测设备、网络平台构建和动态控制技术，形成寒区高速铁路轨下基础设施建造成套技术与标准化技术体系与安全运营监控技术平台。</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考核指标：形成寒区高速铁路路基防冻胀、减隔振成套技术及其应用工艺，提出寒区高速铁路新型防冻胀、减振路基形式</w:t>
      </w:r>
      <w:r>
        <w:rPr>
          <w:rFonts w:ascii="Times New Roman" w:eastAsia="仿宋_GB2312" w:hAnsi="Times New Roman"/>
          <w:sz w:val="32"/>
          <w:szCs w:val="32"/>
        </w:rPr>
        <w:t>1</w:t>
      </w:r>
      <w:r>
        <w:rPr>
          <w:rFonts w:ascii="Times New Roman" w:eastAsia="仿宋_GB2312" w:hAnsi="Times New Roman" w:hint="eastAsia"/>
          <w:sz w:val="32"/>
          <w:szCs w:val="32"/>
        </w:rPr>
        <w:t>种，</w:t>
      </w:r>
      <w:r>
        <w:rPr>
          <w:rFonts w:ascii="Times New Roman" w:eastAsia="仿宋_GB2312" w:hAnsi="Times New Roman"/>
          <w:sz w:val="32"/>
          <w:szCs w:val="32"/>
        </w:rPr>
        <w:t>10m</w:t>
      </w:r>
      <w:r>
        <w:rPr>
          <w:rFonts w:ascii="Times New Roman" w:eastAsia="仿宋_GB2312" w:hAnsi="Times New Roman" w:hint="eastAsia"/>
          <w:sz w:val="32"/>
          <w:szCs w:val="32"/>
        </w:rPr>
        <w:t>弦轨道静态高低偏差不超过</w:t>
      </w:r>
      <w:r>
        <w:rPr>
          <w:rFonts w:ascii="Times New Roman" w:eastAsia="仿宋_GB2312" w:hAnsi="Times New Roman"/>
          <w:sz w:val="32"/>
          <w:szCs w:val="32"/>
        </w:rPr>
        <w:t>4mm</w:t>
      </w:r>
      <w:r>
        <w:rPr>
          <w:rFonts w:ascii="Times New Roman" w:eastAsia="仿宋_GB2312" w:hAnsi="Times New Roman" w:hint="eastAsia"/>
          <w:sz w:val="32"/>
          <w:szCs w:val="32"/>
        </w:rPr>
        <w:t>，路基表面弹性变形不超过</w:t>
      </w:r>
      <w:r>
        <w:rPr>
          <w:rFonts w:ascii="Times New Roman" w:eastAsia="仿宋_GB2312" w:hAnsi="Times New Roman"/>
          <w:sz w:val="32"/>
          <w:szCs w:val="32"/>
        </w:rPr>
        <w:t>2mm</w:t>
      </w:r>
      <w:r>
        <w:rPr>
          <w:rFonts w:ascii="Times New Roman" w:eastAsia="仿宋_GB2312" w:hAnsi="Times New Roman" w:hint="eastAsia"/>
          <w:sz w:val="32"/>
          <w:szCs w:val="32"/>
        </w:rPr>
        <w:t>。形成寒区边坡快速施工自动调节预应力锚固成套技术与轻型机械化支挡技术与设计标准，将锚固工程和支挡工程施工周期分别缩短至</w:t>
      </w:r>
      <w:r>
        <w:rPr>
          <w:rFonts w:ascii="Times New Roman" w:eastAsia="仿宋_GB2312" w:hAnsi="Times New Roman"/>
          <w:sz w:val="32"/>
          <w:szCs w:val="32"/>
        </w:rPr>
        <w:t>6</w:t>
      </w:r>
      <w:r>
        <w:rPr>
          <w:rFonts w:ascii="Times New Roman" w:eastAsia="仿宋_GB2312" w:hAnsi="Times New Roman" w:hint="eastAsia"/>
          <w:sz w:val="32"/>
          <w:szCs w:val="32"/>
        </w:rPr>
        <w:t>小时和</w:t>
      </w:r>
      <w:r>
        <w:rPr>
          <w:rFonts w:ascii="Times New Roman" w:eastAsia="仿宋_GB2312" w:hAnsi="Times New Roman"/>
          <w:sz w:val="32"/>
          <w:szCs w:val="32"/>
        </w:rPr>
        <w:t>8</w:t>
      </w:r>
      <w:r>
        <w:rPr>
          <w:rFonts w:ascii="Times New Roman" w:eastAsia="仿宋_GB2312" w:hAnsi="Times New Roman" w:hint="eastAsia"/>
          <w:sz w:val="32"/>
          <w:szCs w:val="32"/>
        </w:rPr>
        <w:t>小时。形成寒区高速铁路隧道防冻胀、合理疏水新型衬砌筑造工艺，提出寒区隧道新型防冻</w:t>
      </w:r>
      <w:r>
        <w:rPr>
          <w:rFonts w:ascii="Times New Roman" w:eastAsia="仿宋_GB2312" w:hAnsi="Times New Roman"/>
          <w:sz w:val="32"/>
          <w:szCs w:val="32"/>
        </w:rPr>
        <w:t>-</w:t>
      </w:r>
      <w:r>
        <w:rPr>
          <w:rFonts w:ascii="Times New Roman" w:eastAsia="仿宋_GB2312" w:hAnsi="Times New Roman" w:hint="eastAsia"/>
          <w:sz w:val="32"/>
          <w:szCs w:val="32"/>
        </w:rPr>
        <w:t>防渗复合式衬砌形式，确保冬季隧道各部位零挂冰，衬砌无积水冻胀裂缝。构建寒区轨下基础设施系统（包括路基、边坡和隧道）运行风险推理及决策支持知识库。轨下路基、边坡和隧道在线监测类型</w:t>
      </w:r>
      <w:r>
        <w:rPr>
          <w:rFonts w:ascii="Times New Roman" w:eastAsia="仿宋_GB2312" w:hAnsi="Times New Roman"/>
          <w:sz w:val="32"/>
          <w:szCs w:val="32"/>
        </w:rPr>
        <w:t>5</w:t>
      </w:r>
      <w:r>
        <w:rPr>
          <w:rFonts w:ascii="Times New Roman" w:eastAsia="仿宋_GB2312" w:hAnsi="Times New Roman" w:hint="eastAsia"/>
          <w:sz w:val="32"/>
          <w:szCs w:val="32"/>
        </w:rPr>
        <w:t>种以上，状态智能辨识精度达</w:t>
      </w:r>
      <w:r>
        <w:rPr>
          <w:rFonts w:ascii="Times New Roman" w:eastAsia="仿宋_GB2312" w:hAnsi="Times New Roman"/>
          <w:sz w:val="32"/>
          <w:szCs w:val="32"/>
        </w:rPr>
        <w:t>90%</w:t>
      </w:r>
      <w:r>
        <w:rPr>
          <w:rFonts w:ascii="Times New Roman" w:eastAsia="仿宋_GB2312" w:hAnsi="Times New Roman" w:hint="eastAsia"/>
          <w:sz w:val="32"/>
          <w:szCs w:val="32"/>
        </w:rPr>
        <w:t>以上，支持无故障持续运行</w:t>
      </w:r>
      <w:r>
        <w:rPr>
          <w:rFonts w:ascii="Times New Roman" w:eastAsia="仿宋_GB2312" w:hAnsi="Times New Roman"/>
          <w:sz w:val="32"/>
          <w:szCs w:val="32"/>
        </w:rPr>
        <w:t>2000</w:t>
      </w:r>
      <w:r>
        <w:rPr>
          <w:rFonts w:ascii="Times New Roman" w:eastAsia="仿宋_GB2312" w:hAnsi="Times New Roman" w:hint="eastAsia"/>
          <w:sz w:val="32"/>
          <w:szCs w:val="32"/>
        </w:rPr>
        <w:t>小时以上。基于自主可控技术和产品，建立轨下基础设施（包括路基、边坡和隧道）长期可靠运行全息感知与智能诊断平台，支持轨下基础设施、设备及系统的运行安全状态感知，在不少于</w:t>
      </w:r>
      <w:r>
        <w:rPr>
          <w:rFonts w:ascii="Times New Roman" w:eastAsia="仿宋_GB2312" w:hAnsi="Times New Roman"/>
          <w:sz w:val="32"/>
          <w:szCs w:val="32"/>
        </w:rPr>
        <w:t>2</w:t>
      </w:r>
      <w:r>
        <w:rPr>
          <w:rFonts w:ascii="Times New Roman" w:eastAsia="仿宋_GB2312" w:hAnsi="Times New Roman" w:hint="eastAsia"/>
          <w:sz w:val="32"/>
          <w:szCs w:val="32"/>
        </w:rPr>
        <w:t>条高铁轨下基础设施进行示范应用。申请系列专利和软件著作权。</w:t>
      </w:r>
    </w:p>
    <w:p w:rsidR="000A5F03" w:rsidRDefault="000A5F03">
      <w:pPr>
        <w:spacing w:line="560" w:lineRule="exact"/>
        <w:ind w:left="643"/>
        <w:rPr>
          <w:rFonts w:ascii="Times New Roman" w:eastAsia="楷体_GB2312" w:hAnsi="Times New Roman"/>
          <w:b/>
          <w:color w:val="0D0509"/>
          <w:sz w:val="32"/>
        </w:rPr>
      </w:pPr>
      <w:r>
        <w:rPr>
          <w:rFonts w:ascii="Times New Roman" w:eastAsia="楷体_GB2312" w:hAnsi="Times New Roman" w:hint="eastAsia"/>
          <w:b/>
          <w:color w:val="0D0509"/>
          <w:sz w:val="32"/>
        </w:rPr>
        <w:t>（五）增材制造</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9.</w:t>
      </w:r>
      <w:r>
        <w:rPr>
          <w:rFonts w:ascii="Times New Roman" w:eastAsia="仿宋_GB2312" w:hAnsi="Times New Roman" w:hint="eastAsia"/>
          <w:b/>
          <w:sz w:val="32"/>
          <w:szCs w:val="32"/>
        </w:rPr>
        <w:t>表面功能结构的激光选区熔化增材制造技术与装备</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研究内容：研究激光与金属纳米颗粒</w:t>
      </w:r>
      <w:r>
        <w:rPr>
          <w:rFonts w:ascii="Times New Roman" w:eastAsia="仿宋_GB2312" w:hAnsi="Times New Roman"/>
          <w:sz w:val="32"/>
          <w:szCs w:val="32"/>
        </w:rPr>
        <w:t>/</w:t>
      </w:r>
      <w:r>
        <w:rPr>
          <w:rFonts w:ascii="Times New Roman" w:eastAsia="仿宋_GB2312" w:hAnsi="Times New Roman" w:hint="eastAsia"/>
          <w:sz w:val="32"/>
          <w:szCs w:val="32"/>
        </w:rPr>
        <w:t>分散液介质相互作用的物理化学机制；研究金属纳米颗粒分散液的配制方法及其流动行为；研制激光选区熔化墨水打印金属纳米颗粒增材制造装备，开展制造工艺实验及成形质量评价研究；研究激光选区熔化增材制造成形表面功能结构的应用性能。</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考核指标：实现金属铜</w:t>
      </w:r>
      <w:r>
        <w:rPr>
          <w:rFonts w:ascii="Times New Roman" w:eastAsia="仿宋_GB2312" w:hAnsi="Times New Roman"/>
          <w:sz w:val="32"/>
          <w:szCs w:val="32"/>
        </w:rPr>
        <w:t>Cu</w:t>
      </w:r>
      <w:r>
        <w:rPr>
          <w:rFonts w:ascii="Times New Roman" w:eastAsia="仿宋_GB2312" w:hAnsi="Times New Roman" w:hint="eastAsia"/>
          <w:sz w:val="32"/>
          <w:szCs w:val="32"/>
        </w:rPr>
        <w:t>纳米颗粒增材制造成形层级多尺度表面功能结构，颗粒尺度小于</w:t>
      </w:r>
      <w:r>
        <w:rPr>
          <w:rFonts w:ascii="Times New Roman" w:eastAsia="仿宋_GB2312" w:hAnsi="Times New Roman"/>
          <w:sz w:val="32"/>
          <w:szCs w:val="32"/>
        </w:rPr>
        <w:t>100nm</w:t>
      </w:r>
      <w:r>
        <w:rPr>
          <w:rFonts w:ascii="Times New Roman" w:eastAsia="仿宋_GB2312" w:hAnsi="Times New Roman" w:hint="eastAsia"/>
          <w:sz w:val="32"/>
          <w:szCs w:val="32"/>
        </w:rPr>
        <w:t>。可实现微织构减摩，润滑条件下铜微织构表面相比不锈钢平面的摩擦系数降低</w:t>
      </w:r>
      <w:r>
        <w:rPr>
          <w:rFonts w:ascii="Times New Roman" w:eastAsia="仿宋_GB2312" w:hAnsi="Times New Roman"/>
          <w:sz w:val="32"/>
          <w:szCs w:val="32"/>
        </w:rPr>
        <w:t>20%</w:t>
      </w:r>
      <w:r>
        <w:rPr>
          <w:rFonts w:ascii="Times New Roman" w:eastAsia="仿宋_GB2312" w:hAnsi="Times New Roman" w:hint="eastAsia"/>
          <w:sz w:val="32"/>
          <w:szCs w:val="32"/>
        </w:rPr>
        <w:t>；制备疏水</w:t>
      </w:r>
      <w:r>
        <w:rPr>
          <w:rFonts w:ascii="Times New Roman" w:eastAsia="仿宋_GB2312" w:hAnsi="Times New Roman"/>
          <w:sz w:val="32"/>
          <w:szCs w:val="32"/>
        </w:rPr>
        <w:t>/</w:t>
      </w:r>
      <w:r>
        <w:rPr>
          <w:rFonts w:ascii="Times New Roman" w:eastAsia="仿宋_GB2312" w:hAnsi="Times New Roman" w:hint="eastAsia"/>
          <w:sz w:val="32"/>
          <w:szCs w:val="32"/>
        </w:rPr>
        <w:t>超疏水表面，其表征接触角大于</w:t>
      </w:r>
      <w:r>
        <w:rPr>
          <w:rFonts w:ascii="Times New Roman" w:eastAsia="仿宋_GB2312" w:hAnsi="Times New Roman"/>
          <w:sz w:val="32"/>
          <w:szCs w:val="32"/>
        </w:rPr>
        <w:t>150</w:t>
      </w:r>
      <w:r>
        <w:rPr>
          <w:rFonts w:ascii="Times New Roman" w:eastAsia="仿宋_GB2312" w:hAnsi="Times New Roman" w:hint="eastAsia"/>
          <w:sz w:val="32"/>
          <w:szCs w:val="32"/>
        </w:rPr>
        <w:t>度。激光选区熔化墨水打印金属纳米颗粒增材制造成形表面功能结构面积可达</w:t>
      </w:r>
      <w:r>
        <w:rPr>
          <w:rFonts w:ascii="Times New Roman" w:eastAsia="仿宋_GB2312" w:hAnsi="Times New Roman"/>
          <w:sz w:val="32"/>
          <w:szCs w:val="32"/>
        </w:rPr>
        <w:t>150mm×150mm</w:t>
      </w:r>
      <w:r>
        <w:rPr>
          <w:rFonts w:ascii="Times New Roman" w:eastAsia="仿宋_GB2312" w:hAnsi="Times New Roman" w:hint="eastAsia"/>
          <w:sz w:val="32"/>
          <w:szCs w:val="32"/>
        </w:rPr>
        <w:t>。</w:t>
      </w:r>
    </w:p>
    <w:p w:rsidR="000A5F03" w:rsidRDefault="000A5F03">
      <w:pPr>
        <w:spacing w:line="560" w:lineRule="exact"/>
        <w:ind w:left="643"/>
        <w:rPr>
          <w:rFonts w:ascii="Times New Roman" w:eastAsia="楷体_GB2312" w:hAnsi="Times New Roman"/>
          <w:b/>
          <w:color w:val="0D0509"/>
          <w:sz w:val="32"/>
        </w:rPr>
      </w:pPr>
      <w:r>
        <w:rPr>
          <w:rFonts w:ascii="Times New Roman" w:eastAsia="楷体_GB2312" w:hAnsi="Times New Roman" w:hint="eastAsia"/>
          <w:b/>
          <w:color w:val="0D0509"/>
          <w:sz w:val="32"/>
        </w:rPr>
        <w:t>（六）人工智能</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10.</w:t>
      </w:r>
      <w:r>
        <w:rPr>
          <w:rFonts w:ascii="Times New Roman" w:eastAsia="仿宋_GB2312" w:hAnsi="Times New Roman" w:hint="eastAsia"/>
          <w:b/>
          <w:sz w:val="32"/>
          <w:szCs w:val="32"/>
        </w:rPr>
        <w:t>人工智能四季滑雪辅助训练系统关键技术研究与示范</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w:t>
      </w:r>
      <w:r>
        <w:rPr>
          <w:rFonts w:ascii="Times New Roman" w:eastAsia="仿宋_GB2312" w:hAnsi="Times New Roman" w:hint="eastAsia"/>
          <w:sz w:val="32"/>
        </w:rPr>
        <w:t>采用人工智能技术针对性地解决黑龙江优势冰雪产业链中运动人口基数及客源不足的瓶颈问题，采用智能四季滑雪机，集成人工智能、虚拟现实、三维动作捕捉、多维数据库技术，追踪运动员动作姿态，建立滑雪运动虚拟雪场数据库、运动员数据库、动作运动学数据库等多个训练资源库，研究虚拟环境反馈与投射、运动员动作技术分析评价与优化关键技术，研制人工智能四季滑雪可视化虚拟教练教学及评价辅助训练系统。实现从初学者到专业运动员的多层次智能辅助训练效果。</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w:t>
      </w:r>
      <w:r>
        <w:rPr>
          <w:rFonts w:ascii="Times New Roman" w:eastAsia="仿宋_GB2312" w:hAnsi="Times New Roman" w:hint="eastAsia"/>
          <w:sz w:val="32"/>
        </w:rPr>
        <w:t>突破人工智能动作评价、高空雪场测量、三维人体姿态捕捉、滑雪机智能反馈控制、虚拟现实环境模拟等</w:t>
      </w:r>
      <w:r>
        <w:rPr>
          <w:rFonts w:ascii="Times New Roman" w:eastAsia="仿宋_GB2312" w:hAnsi="Times New Roman"/>
          <w:sz w:val="32"/>
        </w:rPr>
        <w:t>4-6</w:t>
      </w:r>
      <w:r>
        <w:rPr>
          <w:rFonts w:ascii="Times New Roman" w:eastAsia="仿宋_GB2312" w:hAnsi="Times New Roman" w:hint="eastAsia"/>
          <w:sz w:val="32"/>
        </w:rPr>
        <w:t>项关键技术；创制人工智能四季滑雪可视化虚拟教练教学及评价辅助训练系统</w:t>
      </w:r>
      <w:r>
        <w:rPr>
          <w:rFonts w:ascii="Times New Roman" w:eastAsia="仿宋_GB2312" w:hAnsi="Times New Roman"/>
          <w:sz w:val="32"/>
        </w:rPr>
        <w:t>2-3</w:t>
      </w:r>
      <w:r>
        <w:rPr>
          <w:rFonts w:ascii="Times New Roman" w:eastAsia="仿宋_GB2312" w:hAnsi="Times New Roman" w:hint="eastAsia"/>
          <w:sz w:val="32"/>
        </w:rPr>
        <w:t>。滑雪机表面速度（</w:t>
      </w:r>
      <w:r>
        <w:rPr>
          <w:rFonts w:ascii="Times New Roman" w:eastAsia="仿宋_GB2312" w:hAnsi="Times New Roman"/>
          <w:sz w:val="32"/>
        </w:rPr>
        <w:t>0-300r/min</w:t>
      </w:r>
      <w:r>
        <w:rPr>
          <w:rFonts w:ascii="Times New Roman" w:eastAsia="仿宋_GB2312" w:hAnsi="Times New Roman" w:hint="eastAsia"/>
          <w:sz w:val="32"/>
        </w:rPr>
        <w:t>）自动无极调速、滑雪坡度</w:t>
      </w:r>
      <w:r>
        <w:rPr>
          <w:rFonts w:ascii="Times New Roman" w:eastAsia="仿宋_GB2312" w:hAnsi="Times New Roman"/>
          <w:sz w:val="32"/>
        </w:rPr>
        <w:t>(9-18</w:t>
      </w:r>
      <w:r>
        <w:rPr>
          <w:rFonts w:ascii="Times New Roman" w:eastAsia="仿宋_GB2312" w:hAnsi="Times New Roman" w:hint="eastAsia"/>
          <w:sz w:val="32"/>
        </w:rPr>
        <w:t>度</w:t>
      </w:r>
      <w:r>
        <w:rPr>
          <w:rFonts w:ascii="Times New Roman" w:eastAsia="仿宋_GB2312" w:hAnsi="Times New Roman"/>
          <w:sz w:val="32"/>
        </w:rPr>
        <w:t>)</w:t>
      </w:r>
      <w:r>
        <w:rPr>
          <w:rFonts w:ascii="Times New Roman" w:eastAsia="仿宋_GB2312" w:hAnsi="Times New Roman" w:hint="eastAsia"/>
          <w:sz w:val="32"/>
        </w:rPr>
        <w:t>自动调整；运动姿态的实时测量误差角</w:t>
      </w:r>
      <w:r>
        <w:rPr>
          <w:rFonts w:ascii="Times New Roman" w:eastAsia="仿宋_GB2312" w:hAnsi="Times New Roman"/>
          <w:sz w:val="32"/>
        </w:rPr>
        <w:t>≤±3.5°</w:t>
      </w:r>
      <w:r>
        <w:rPr>
          <w:rFonts w:ascii="Times New Roman" w:eastAsia="仿宋_GB2312" w:hAnsi="Times New Roman" w:hint="eastAsia"/>
          <w:sz w:val="32"/>
        </w:rPr>
        <w:t>；系统硬件响应时间</w:t>
      </w:r>
      <w:r>
        <w:rPr>
          <w:rFonts w:ascii="Times New Roman" w:eastAsia="仿宋_GB2312" w:hAnsi="Times New Roman"/>
          <w:sz w:val="32"/>
        </w:rPr>
        <w:t>≤0.5s</w:t>
      </w:r>
      <w:r>
        <w:rPr>
          <w:rFonts w:ascii="Times New Roman" w:eastAsia="仿宋_GB2312" w:hAnsi="Times New Roman" w:hint="eastAsia"/>
          <w:sz w:val="32"/>
        </w:rPr>
        <w:t>；</w:t>
      </w:r>
      <w:r>
        <w:rPr>
          <w:rFonts w:ascii="Times New Roman" w:eastAsia="仿宋_GB2312" w:hAnsi="Times New Roman"/>
          <w:sz w:val="32"/>
        </w:rPr>
        <w:t>20</w:t>
      </w:r>
      <w:r>
        <w:rPr>
          <w:rFonts w:ascii="Times New Roman" w:eastAsia="仿宋_GB2312" w:hAnsi="Times New Roman" w:hint="eastAsia"/>
          <w:sz w:val="32"/>
        </w:rPr>
        <w:t>条虚拟雪道还原误差</w:t>
      </w:r>
      <w:r>
        <w:rPr>
          <w:rFonts w:ascii="Times New Roman" w:eastAsia="仿宋_GB2312" w:hAnsi="Times New Roman"/>
          <w:sz w:val="32"/>
        </w:rPr>
        <w:t>≤0.5%</w:t>
      </w:r>
      <w:r>
        <w:rPr>
          <w:rFonts w:ascii="Times New Roman" w:eastAsia="仿宋_GB2312" w:hAnsi="Times New Roman" w:hint="eastAsia"/>
          <w:sz w:val="32"/>
        </w:rPr>
        <w:t>；实时滑雪姿态识别率</w:t>
      </w:r>
      <w:r>
        <w:rPr>
          <w:rFonts w:ascii="Times New Roman" w:eastAsia="仿宋_GB2312" w:hAnsi="Times New Roman"/>
          <w:sz w:val="32"/>
        </w:rPr>
        <w:t>≥98%</w:t>
      </w:r>
      <w:r>
        <w:rPr>
          <w:rFonts w:ascii="Times New Roman" w:eastAsia="仿宋_GB2312" w:hAnsi="Times New Roman" w:hint="eastAsia"/>
          <w:sz w:val="32"/>
        </w:rPr>
        <w:t>；第一视角、第三视角、教练领滑视角自由切换。提升滑雪运动有效训练时间</w:t>
      </w:r>
      <w:r>
        <w:rPr>
          <w:rFonts w:ascii="Times New Roman" w:eastAsia="仿宋_GB2312" w:hAnsi="Times New Roman"/>
          <w:sz w:val="32"/>
        </w:rPr>
        <w:t>50%</w:t>
      </w:r>
      <w:r>
        <w:rPr>
          <w:rFonts w:ascii="Times New Roman" w:eastAsia="仿宋_GB2312" w:hAnsi="Times New Roman" w:hint="eastAsia"/>
          <w:sz w:val="32"/>
        </w:rPr>
        <w:t>以上，减少初学者运动损伤发生率</w:t>
      </w:r>
      <w:r>
        <w:rPr>
          <w:rFonts w:ascii="Times New Roman" w:eastAsia="仿宋_GB2312" w:hAnsi="Times New Roman"/>
          <w:sz w:val="32"/>
        </w:rPr>
        <w:t>50%</w:t>
      </w:r>
      <w:r>
        <w:rPr>
          <w:rFonts w:ascii="Times New Roman" w:eastAsia="仿宋_GB2312" w:hAnsi="Times New Roman" w:hint="eastAsia"/>
          <w:sz w:val="32"/>
        </w:rPr>
        <w:t>；在省级滑雪训练基地进行应用示范。</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11.</w:t>
      </w:r>
      <w:r>
        <w:rPr>
          <w:rFonts w:ascii="Times New Roman" w:eastAsia="仿宋_GB2312" w:hAnsi="Times New Roman" w:hint="eastAsia"/>
          <w:b/>
          <w:sz w:val="32"/>
          <w:szCs w:val="32"/>
        </w:rPr>
        <w:t>基于人工智能农产品成分含量快速检测技术装备与平台的研发</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农产品、农资，药品成分含量的检测设备的体积庞大、费时、费力、成本高、甚至有危险的消耗品等问题。本项目研究在人工智能下深度学习与主动学习融合的农产品（中草药）主要成分快速检测技术，研制智能云环境下的农产品（中草药）成分含量快速测定技术装备、农产品品质等级评定技术装备及系统。该技术装备具有云协作、便携、智慧、非破坏性、快速、性价比高、精度高等优点，使得各个生产，销售，流通环节中对农产品（药品）的成分指标快速实时检测。通过智能硬件，云计算高级算法，同步移动互联网的大数据（地理戳，时间戳，品质戳）实现智慧食安，通过数据给农产品（中草药）赋能，实现其自身数据价值链、供应链。测、性价比高、精度高等优点，使得农民、检验人员、原料采购商等在田间、农场、仓库和超市对农产品的物质指标实时检测。</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考核指标：突破非破坏性的农产品成分含量的在线检测技术</w:t>
      </w:r>
      <w:r>
        <w:rPr>
          <w:rFonts w:ascii="Times New Roman" w:eastAsia="仿宋_GB2312" w:hAnsi="Times New Roman"/>
          <w:sz w:val="32"/>
          <w:szCs w:val="32"/>
        </w:rPr>
        <w:t>1</w:t>
      </w:r>
      <w:r>
        <w:rPr>
          <w:rFonts w:ascii="Times New Roman" w:eastAsia="仿宋_GB2312" w:hAnsi="Times New Roman" w:hint="eastAsia"/>
          <w:sz w:val="32"/>
          <w:szCs w:val="32"/>
        </w:rPr>
        <w:t>项；分别达到精度要求相关系数</w:t>
      </w:r>
      <w:r>
        <w:rPr>
          <w:rFonts w:ascii="Times New Roman" w:eastAsia="仿宋_GB2312" w:hAnsi="Times New Roman"/>
          <w:sz w:val="32"/>
          <w:szCs w:val="32"/>
        </w:rPr>
        <w:t>≥0.7</w:t>
      </w:r>
      <w:r>
        <w:rPr>
          <w:rFonts w:ascii="Times New Roman" w:eastAsia="仿宋_GB2312" w:hAnsi="Times New Roman" w:hint="eastAsia"/>
          <w:sz w:val="32"/>
          <w:szCs w:val="32"/>
        </w:rPr>
        <w:t>，标准差</w:t>
      </w:r>
      <w:r>
        <w:rPr>
          <w:rFonts w:ascii="Times New Roman" w:eastAsia="仿宋_GB2312" w:hAnsi="Times New Roman"/>
          <w:sz w:val="32"/>
          <w:szCs w:val="32"/>
        </w:rPr>
        <w:t>≤0.8</w:t>
      </w:r>
      <w:r>
        <w:rPr>
          <w:rFonts w:ascii="Times New Roman" w:eastAsia="仿宋_GB2312" w:hAnsi="Times New Roman" w:hint="eastAsia"/>
          <w:sz w:val="32"/>
          <w:szCs w:val="32"/>
        </w:rPr>
        <w:t>，相对误差</w:t>
      </w:r>
      <w:r>
        <w:rPr>
          <w:rFonts w:ascii="Times New Roman" w:eastAsia="仿宋_GB2312" w:hAnsi="Times New Roman"/>
          <w:sz w:val="32"/>
          <w:szCs w:val="32"/>
        </w:rPr>
        <w:t>≤7%</w:t>
      </w:r>
      <w:r>
        <w:rPr>
          <w:rFonts w:ascii="Times New Roman" w:eastAsia="仿宋_GB2312" w:hAnsi="Times New Roman" w:hint="eastAsia"/>
          <w:sz w:val="32"/>
          <w:szCs w:val="32"/>
        </w:rPr>
        <w:t>，检测时间小于等于</w:t>
      </w:r>
      <w:r>
        <w:rPr>
          <w:rFonts w:ascii="Times New Roman" w:eastAsia="仿宋_GB2312" w:hAnsi="Times New Roman"/>
          <w:sz w:val="32"/>
          <w:szCs w:val="32"/>
        </w:rPr>
        <w:t>10</w:t>
      </w:r>
      <w:r>
        <w:rPr>
          <w:rFonts w:ascii="Times New Roman" w:eastAsia="仿宋_GB2312" w:hAnsi="Times New Roman" w:hint="eastAsia"/>
          <w:sz w:val="32"/>
          <w:szCs w:val="32"/>
        </w:rPr>
        <w:t>秒等技术指标；制定粮食行业农产品主要成分含量快速检测团体标准</w:t>
      </w:r>
      <w:r>
        <w:rPr>
          <w:rFonts w:ascii="Times New Roman" w:eastAsia="仿宋_GB2312" w:hAnsi="Times New Roman"/>
          <w:sz w:val="32"/>
          <w:szCs w:val="32"/>
        </w:rPr>
        <w:t>1</w:t>
      </w:r>
      <w:r>
        <w:rPr>
          <w:rFonts w:ascii="Times New Roman" w:eastAsia="仿宋_GB2312" w:hAnsi="Times New Roman" w:hint="eastAsia"/>
          <w:sz w:val="32"/>
          <w:szCs w:val="32"/>
        </w:rPr>
        <w:t>套；软件著作权</w:t>
      </w:r>
      <w:r>
        <w:rPr>
          <w:rFonts w:ascii="Times New Roman" w:eastAsia="仿宋_GB2312" w:hAnsi="Times New Roman"/>
          <w:sz w:val="32"/>
          <w:szCs w:val="32"/>
        </w:rPr>
        <w:t>2</w:t>
      </w:r>
      <w:r>
        <w:rPr>
          <w:rFonts w:ascii="Times New Roman" w:eastAsia="仿宋_GB2312" w:hAnsi="Times New Roman" w:hint="eastAsia"/>
          <w:sz w:val="32"/>
          <w:szCs w:val="32"/>
        </w:rPr>
        <w:t>项；国家发明专利</w:t>
      </w:r>
      <w:r>
        <w:rPr>
          <w:rFonts w:ascii="Times New Roman" w:eastAsia="仿宋_GB2312" w:hAnsi="Times New Roman"/>
          <w:sz w:val="32"/>
          <w:szCs w:val="32"/>
        </w:rPr>
        <w:t>1</w:t>
      </w:r>
      <w:r>
        <w:rPr>
          <w:rFonts w:ascii="Times New Roman" w:eastAsia="仿宋_GB2312" w:hAnsi="Times New Roman" w:hint="eastAsia"/>
          <w:sz w:val="32"/>
          <w:szCs w:val="32"/>
        </w:rPr>
        <w:t>项。</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12.</w:t>
      </w:r>
      <w:r>
        <w:rPr>
          <w:rFonts w:ascii="Times New Roman" w:eastAsia="仿宋_GB2312" w:hAnsi="Times New Roman" w:hint="eastAsia"/>
          <w:b/>
          <w:sz w:val="32"/>
          <w:szCs w:val="32"/>
        </w:rPr>
        <w:t>智能医疗影像诊断设备及影像云平台关键技术研究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主要面向医学影像的重大需求，突破新一代人工智能关键共性技术，以算法为核心，数据和硬件为基础，促进感知识别、人机交互等集成研发能力，构建医学超声影像智能检测平台，可以根据实际需要弹性地利用系统资源，随意组合和可回收重用。对各种来源于临床医疗、队列数据及医院数据进行交互融合。用户根据不同业务应用需要，定制决策规则，生成可重复利用的标准工作流。最终以知识的形式个性化、可视化展示给用户，加速整体医疗发展。</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所研发设备技术指标达到国外同类产品的先进水平，课题研究实现影像的实时获取和分析处理。在典型应用场景下实现可回溯、可解释的智能推理，准确率超过领域中级专家水平。静态病变识别中，整体判断准确率达不低于</w:t>
      </w:r>
      <w:r>
        <w:rPr>
          <w:rFonts w:ascii="Times New Roman" w:eastAsia="仿宋_GB2312" w:hAnsi="Times New Roman"/>
          <w:sz w:val="32"/>
          <w:szCs w:val="32"/>
        </w:rPr>
        <w:t>90%</w:t>
      </w:r>
      <w:r>
        <w:rPr>
          <w:rFonts w:ascii="Times New Roman" w:eastAsia="仿宋_GB2312" w:hAnsi="Times New Roman" w:hint="eastAsia"/>
          <w:sz w:val="32"/>
          <w:szCs w:val="32"/>
        </w:rPr>
        <w:t>，平均敏感性不低于</w:t>
      </w:r>
      <w:r>
        <w:rPr>
          <w:rFonts w:ascii="Times New Roman" w:eastAsia="仿宋_GB2312" w:hAnsi="Times New Roman"/>
          <w:sz w:val="32"/>
          <w:szCs w:val="32"/>
        </w:rPr>
        <w:t>90%</w:t>
      </w:r>
      <w:r>
        <w:rPr>
          <w:rFonts w:ascii="Times New Roman" w:eastAsia="仿宋_GB2312" w:hAnsi="Times New Roman" w:hint="eastAsia"/>
          <w:sz w:val="32"/>
          <w:szCs w:val="32"/>
        </w:rPr>
        <w:t>。平均特异性不低于</w:t>
      </w:r>
      <w:r>
        <w:rPr>
          <w:rFonts w:ascii="Times New Roman" w:eastAsia="仿宋_GB2312" w:hAnsi="Times New Roman"/>
          <w:sz w:val="32"/>
          <w:szCs w:val="32"/>
        </w:rPr>
        <w:t>85%</w:t>
      </w:r>
      <w:r>
        <w:rPr>
          <w:rFonts w:ascii="Times New Roman" w:eastAsia="仿宋_GB2312" w:hAnsi="Times New Roman" w:hint="eastAsia"/>
          <w:sz w:val="32"/>
          <w:szCs w:val="32"/>
        </w:rPr>
        <w:t>；动态病变识别中，平均敏感性不低于</w:t>
      </w:r>
      <w:r>
        <w:rPr>
          <w:rFonts w:ascii="Times New Roman" w:eastAsia="仿宋_GB2312" w:hAnsi="Times New Roman"/>
          <w:sz w:val="32"/>
          <w:szCs w:val="32"/>
        </w:rPr>
        <w:t>90%</w:t>
      </w:r>
      <w:r>
        <w:rPr>
          <w:rFonts w:ascii="Times New Roman" w:eastAsia="仿宋_GB2312" w:hAnsi="Times New Roman" w:hint="eastAsia"/>
          <w:sz w:val="32"/>
          <w:szCs w:val="32"/>
        </w:rPr>
        <w:t>、平均特异性不低于</w:t>
      </w:r>
      <w:r>
        <w:rPr>
          <w:rFonts w:ascii="Times New Roman" w:eastAsia="仿宋_GB2312" w:hAnsi="Times New Roman"/>
          <w:sz w:val="32"/>
          <w:szCs w:val="32"/>
        </w:rPr>
        <w:t>85%</w:t>
      </w:r>
      <w:r>
        <w:rPr>
          <w:rFonts w:ascii="Times New Roman" w:eastAsia="仿宋_GB2312" w:hAnsi="Times New Roman" w:hint="eastAsia"/>
          <w:sz w:val="32"/>
          <w:szCs w:val="32"/>
        </w:rPr>
        <w:t>，整体判断准确性不低于</w:t>
      </w:r>
      <w:r>
        <w:rPr>
          <w:rFonts w:ascii="Times New Roman" w:eastAsia="仿宋_GB2312" w:hAnsi="Times New Roman"/>
          <w:sz w:val="32"/>
          <w:szCs w:val="32"/>
        </w:rPr>
        <w:t>85%</w:t>
      </w:r>
      <w:r>
        <w:rPr>
          <w:rFonts w:ascii="Times New Roman" w:eastAsia="仿宋_GB2312" w:hAnsi="Times New Roman" w:hint="eastAsia"/>
          <w:sz w:val="32"/>
          <w:szCs w:val="32"/>
        </w:rPr>
        <w:t>。基层应用单位不少于</w:t>
      </w:r>
      <w:r>
        <w:rPr>
          <w:rFonts w:ascii="Times New Roman" w:eastAsia="仿宋_GB2312" w:hAnsi="Times New Roman"/>
          <w:sz w:val="32"/>
          <w:szCs w:val="32"/>
        </w:rPr>
        <w:t>30</w:t>
      </w:r>
      <w:r>
        <w:rPr>
          <w:rFonts w:ascii="Times New Roman" w:eastAsia="仿宋_GB2312" w:hAnsi="Times New Roman" w:hint="eastAsia"/>
          <w:sz w:val="32"/>
          <w:szCs w:val="32"/>
        </w:rPr>
        <w:t>家。</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13.</w:t>
      </w:r>
      <w:r>
        <w:rPr>
          <w:rFonts w:ascii="Times New Roman" w:eastAsia="仿宋_GB2312" w:hAnsi="Times New Roman" w:hint="eastAsia"/>
          <w:b/>
          <w:sz w:val="32"/>
          <w:szCs w:val="32"/>
        </w:rPr>
        <w:t>具备人工智能交互的可编程教学陪伴机器人的研发</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研发一款面向学龄孩子人工智能学习的、帮助孩子们绽放创造力的可编程教学陪伴机器人产品，让孩子们可以自己动手、自主参与到陪伴机器人的创造过程中来，并最终完成一台专属自己的个性化机器人，离线状态下仍能支持语音交互、视觉识别、学情监控等功能，在线状态下连接教育云平台可以完成学情检测、教学指导等任务，陪伴孩子学习。</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考核指标：适合</w:t>
      </w:r>
      <w:r>
        <w:rPr>
          <w:rFonts w:ascii="Times New Roman" w:eastAsia="仿宋_GB2312" w:hAnsi="Times New Roman"/>
          <w:sz w:val="32"/>
          <w:szCs w:val="32"/>
        </w:rPr>
        <w:t>6-14</w:t>
      </w:r>
      <w:r>
        <w:rPr>
          <w:rFonts w:ascii="Times New Roman" w:eastAsia="仿宋_GB2312" w:hAnsi="Times New Roman" w:hint="eastAsia"/>
          <w:sz w:val="32"/>
          <w:szCs w:val="32"/>
        </w:rPr>
        <w:t>岁年龄段儿童组装调试，兼顾儿童的动手能力，提供千兆以太网、</w:t>
      </w:r>
      <w:r>
        <w:rPr>
          <w:rFonts w:ascii="Times New Roman" w:eastAsia="仿宋_GB2312" w:hAnsi="Times New Roman"/>
          <w:sz w:val="32"/>
          <w:szCs w:val="32"/>
        </w:rPr>
        <w:t>HDMI</w:t>
      </w:r>
      <w:r>
        <w:rPr>
          <w:rFonts w:ascii="Times New Roman" w:eastAsia="仿宋_GB2312" w:hAnsi="Times New Roman" w:hint="eastAsia"/>
          <w:sz w:val="32"/>
          <w:szCs w:val="32"/>
        </w:rPr>
        <w:t>、</w:t>
      </w:r>
      <w:r>
        <w:rPr>
          <w:rFonts w:ascii="Times New Roman" w:eastAsia="仿宋_GB2312" w:hAnsi="Times New Roman"/>
          <w:sz w:val="32"/>
          <w:szCs w:val="32"/>
        </w:rPr>
        <w:t>MICROUSB</w:t>
      </w:r>
      <w:r>
        <w:rPr>
          <w:rFonts w:ascii="Times New Roman" w:eastAsia="仿宋_GB2312" w:hAnsi="Times New Roman" w:hint="eastAsia"/>
          <w:sz w:val="32"/>
          <w:szCs w:val="32"/>
        </w:rPr>
        <w:t>、</w:t>
      </w:r>
      <w:r>
        <w:rPr>
          <w:rFonts w:ascii="Times New Roman" w:eastAsia="仿宋_GB2312" w:hAnsi="Times New Roman"/>
          <w:sz w:val="32"/>
          <w:szCs w:val="32"/>
        </w:rPr>
        <w:t>USB3.0</w:t>
      </w:r>
      <w:r>
        <w:rPr>
          <w:rFonts w:ascii="Times New Roman" w:eastAsia="仿宋_GB2312" w:hAnsi="Times New Roman" w:hint="eastAsia"/>
          <w:sz w:val="32"/>
          <w:szCs w:val="32"/>
        </w:rPr>
        <w:t>、</w:t>
      </w:r>
      <w:r>
        <w:rPr>
          <w:rFonts w:ascii="Times New Roman" w:eastAsia="仿宋_GB2312" w:hAnsi="Times New Roman"/>
          <w:sz w:val="32"/>
          <w:szCs w:val="32"/>
        </w:rPr>
        <w:t>RS485</w:t>
      </w:r>
      <w:r>
        <w:rPr>
          <w:rFonts w:ascii="Times New Roman" w:eastAsia="仿宋_GB2312" w:hAnsi="Times New Roman" w:hint="eastAsia"/>
          <w:sz w:val="32"/>
          <w:szCs w:val="32"/>
        </w:rPr>
        <w:t>、</w:t>
      </w:r>
      <w:r>
        <w:rPr>
          <w:rFonts w:ascii="Times New Roman" w:eastAsia="仿宋_GB2312" w:hAnsi="Times New Roman"/>
          <w:sz w:val="32"/>
          <w:szCs w:val="32"/>
        </w:rPr>
        <w:t>ONKEY</w:t>
      </w:r>
      <w:r>
        <w:rPr>
          <w:rFonts w:ascii="Times New Roman" w:eastAsia="仿宋_GB2312" w:hAnsi="Times New Roman" w:hint="eastAsia"/>
          <w:sz w:val="32"/>
          <w:szCs w:val="32"/>
        </w:rPr>
        <w:t>以及</w:t>
      </w:r>
      <w:r>
        <w:rPr>
          <w:rFonts w:ascii="Times New Roman" w:eastAsia="仿宋_GB2312" w:hAnsi="Times New Roman"/>
          <w:sz w:val="32"/>
          <w:szCs w:val="32"/>
        </w:rPr>
        <w:t>Recovery</w:t>
      </w:r>
      <w:r>
        <w:rPr>
          <w:rFonts w:ascii="Times New Roman" w:eastAsia="仿宋_GB2312" w:hAnsi="Times New Roman" w:hint="eastAsia"/>
          <w:sz w:val="32"/>
          <w:szCs w:val="32"/>
        </w:rPr>
        <w:t>等接口，传感器采集数据时钟同步可达微秒级，采用更安全的</w:t>
      </w:r>
      <w:r>
        <w:rPr>
          <w:rFonts w:ascii="Times New Roman" w:eastAsia="仿宋_GB2312" w:hAnsi="Times New Roman"/>
          <w:sz w:val="32"/>
          <w:szCs w:val="32"/>
        </w:rPr>
        <w:t>DC12V</w:t>
      </w:r>
      <w:r>
        <w:rPr>
          <w:rFonts w:ascii="Times New Roman" w:eastAsia="仿宋_GB2312" w:hAnsi="Times New Roman" w:hint="eastAsia"/>
          <w:sz w:val="32"/>
          <w:szCs w:val="32"/>
        </w:rPr>
        <w:t>供电。支持</w:t>
      </w:r>
      <w:r>
        <w:rPr>
          <w:rFonts w:ascii="Times New Roman" w:eastAsia="仿宋_GB2312" w:hAnsi="Times New Roman"/>
          <w:sz w:val="32"/>
          <w:szCs w:val="32"/>
        </w:rPr>
        <w:t>Jetpack2.3</w:t>
      </w:r>
      <w:r>
        <w:rPr>
          <w:rFonts w:ascii="Times New Roman" w:eastAsia="仿宋_GB2312" w:hAnsi="Times New Roman" w:hint="eastAsia"/>
          <w:sz w:val="32"/>
          <w:szCs w:val="32"/>
        </w:rPr>
        <w:t>，</w:t>
      </w:r>
      <w:r>
        <w:rPr>
          <w:rFonts w:ascii="Times New Roman" w:eastAsia="仿宋_GB2312" w:hAnsi="Times New Roman"/>
          <w:sz w:val="32"/>
          <w:szCs w:val="32"/>
        </w:rPr>
        <w:t>3.1</w:t>
      </w:r>
      <w:r>
        <w:rPr>
          <w:rFonts w:ascii="Times New Roman" w:eastAsia="仿宋_GB2312" w:hAnsi="Times New Roman" w:hint="eastAsia"/>
          <w:sz w:val="32"/>
          <w:szCs w:val="32"/>
        </w:rPr>
        <w:t>，</w:t>
      </w:r>
      <w:r>
        <w:rPr>
          <w:rFonts w:ascii="Times New Roman" w:eastAsia="仿宋_GB2312" w:hAnsi="Times New Roman"/>
          <w:sz w:val="32"/>
          <w:szCs w:val="32"/>
        </w:rPr>
        <w:t>3.3</w:t>
      </w:r>
      <w:r>
        <w:rPr>
          <w:rFonts w:ascii="Times New Roman" w:eastAsia="仿宋_GB2312" w:hAnsi="Times New Roman" w:hint="eastAsia"/>
          <w:sz w:val="32"/>
          <w:szCs w:val="32"/>
        </w:rPr>
        <w:t>等</w:t>
      </w:r>
      <w:r>
        <w:rPr>
          <w:rFonts w:ascii="Times New Roman" w:eastAsia="仿宋_GB2312" w:hAnsi="Times New Roman"/>
          <w:sz w:val="32"/>
          <w:szCs w:val="32"/>
        </w:rPr>
        <w:t>BSP</w:t>
      </w:r>
      <w:r>
        <w:rPr>
          <w:rFonts w:ascii="Times New Roman" w:eastAsia="仿宋_GB2312" w:hAnsi="Times New Roman" w:hint="eastAsia"/>
          <w:sz w:val="32"/>
          <w:szCs w:val="32"/>
        </w:rPr>
        <w:t>，支持语音交互与显示交互，支持语音指令集，支持人脸、物体、手势识别。可扩展激光雷达、超声波、红外以及马达、舵机等功率设备操控模块，可挂接单目或双目视觉传感器。</w:t>
      </w:r>
    </w:p>
    <w:p w:rsidR="000A5F03" w:rsidRDefault="000A5F03">
      <w:pPr>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br w:type="page"/>
      </w:r>
    </w:p>
    <w:p w:rsidR="000A5F03" w:rsidRDefault="000A5F03">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二、农业领域</w:t>
      </w:r>
    </w:p>
    <w:p w:rsidR="000A5F03" w:rsidRDefault="000A5F03">
      <w:pPr>
        <w:spacing w:line="560" w:lineRule="exact"/>
        <w:ind w:firstLineChars="200" w:firstLine="640"/>
        <w:rPr>
          <w:rFonts w:ascii="Times New Roman" w:eastAsia="仿宋_GB2312" w:hAnsi="Times New Roman"/>
          <w:bCs/>
          <w:color w:val="0D0509"/>
          <w:sz w:val="32"/>
        </w:rPr>
      </w:pPr>
      <w:r>
        <w:rPr>
          <w:rFonts w:ascii="Times New Roman" w:eastAsia="仿宋_GB2312" w:hAnsi="Times New Roman" w:hint="eastAsia"/>
          <w:bCs/>
          <w:color w:val="0D0509"/>
          <w:sz w:val="32"/>
        </w:rPr>
        <w:t>业务咨询：</w:t>
      </w:r>
      <w:r>
        <w:rPr>
          <w:rFonts w:ascii="Times New Roman" w:eastAsia="仿宋_GB2312" w:hAnsi="Times New Roman"/>
          <w:bCs/>
          <w:color w:val="0D0509"/>
          <w:sz w:val="32"/>
        </w:rPr>
        <w:t>0451-82625077</w:t>
      </w:r>
      <w:r>
        <w:rPr>
          <w:rFonts w:ascii="Times New Roman" w:eastAsia="仿宋_GB2312" w:hAnsi="Times New Roman" w:hint="eastAsia"/>
          <w:bCs/>
          <w:color w:val="0D0509"/>
          <w:sz w:val="32"/>
        </w:rPr>
        <w:t>。</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w:t>
      </w:r>
      <w:r>
        <w:rPr>
          <w:rFonts w:ascii="Times New Roman" w:eastAsia="仿宋_GB2312" w:hAnsi="Times New Roman" w:hint="eastAsia"/>
          <w:b/>
          <w:sz w:val="32"/>
          <w:szCs w:val="32"/>
        </w:rPr>
        <w:t>．寒地水稻绿色优质高效生产关键技术研究与示范</w:t>
      </w:r>
    </w:p>
    <w:p w:rsidR="000A5F03" w:rsidRDefault="000A5F03">
      <w:pPr>
        <w:spacing w:line="560" w:lineRule="exact"/>
        <w:ind w:firstLine="648"/>
        <w:rPr>
          <w:rFonts w:ascii="Times New Roman" w:eastAsia="仿宋_GB2312" w:hAnsi="Times New Roman"/>
          <w:sz w:val="32"/>
          <w:szCs w:val="32"/>
        </w:rPr>
      </w:pPr>
      <w:r>
        <w:rPr>
          <w:rFonts w:ascii="Times New Roman" w:eastAsia="仿宋_GB2312" w:hAnsi="Times New Roman" w:hint="eastAsia"/>
          <w:sz w:val="32"/>
          <w:szCs w:val="32"/>
        </w:rPr>
        <w:t>研究内容：针对当前寒地水稻过量施肥用药，导致肥料利用率低和环境污染加重问题</w:t>
      </w:r>
      <w:r>
        <w:rPr>
          <w:rFonts w:ascii="Times New Roman" w:eastAsia="仿宋_GB2312" w:hAnsi="Times New Roman"/>
          <w:sz w:val="32"/>
          <w:szCs w:val="32"/>
        </w:rPr>
        <w:t>,</w:t>
      </w:r>
      <w:r>
        <w:rPr>
          <w:rFonts w:ascii="Times New Roman" w:eastAsia="仿宋_GB2312" w:hAnsi="Times New Roman" w:hint="eastAsia"/>
          <w:sz w:val="32"/>
          <w:szCs w:val="32"/>
        </w:rPr>
        <w:t>开展节肥减药技术研究；针对土壤肥力下降、秸秆被露天焚烧污染空气问题，开展秸秆还田培肥土壤技术研究；针对优质水稻品种与栽培技术配套性差，没有发挥出优质品种的优质特性问题，开展优质水稻品种保优丰产栽培技术研究；针对目前水稻栽培技术复杂、成本高的问题，开展水稻轻简化栽培技术研究；对关键技术进行集成组装，建立示范区进行有显示度的示范推广。</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考核指标：建立绿色优质高效生产技术模式</w:t>
      </w:r>
      <w:r>
        <w:rPr>
          <w:rFonts w:ascii="Times New Roman" w:eastAsia="仿宋_GB2312" w:hAnsi="Times New Roman"/>
          <w:sz w:val="32"/>
          <w:szCs w:val="32"/>
        </w:rPr>
        <w:t>4-6</w:t>
      </w:r>
      <w:r>
        <w:rPr>
          <w:rFonts w:ascii="Times New Roman" w:eastAsia="仿宋_GB2312" w:hAnsi="Times New Roman" w:hint="eastAsia"/>
          <w:sz w:val="32"/>
          <w:szCs w:val="32"/>
        </w:rPr>
        <w:t>套，地方标准</w:t>
      </w:r>
      <w:r>
        <w:rPr>
          <w:rFonts w:ascii="Times New Roman" w:eastAsia="仿宋_GB2312" w:hAnsi="Times New Roman"/>
          <w:sz w:val="32"/>
          <w:szCs w:val="32"/>
        </w:rPr>
        <w:t>4</w:t>
      </w:r>
      <w:r>
        <w:rPr>
          <w:rFonts w:ascii="Times New Roman" w:eastAsia="仿宋_GB2312" w:hAnsi="Times New Roman" w:hint="eastAsia"/>
          <w:sz w:val="32"/>
          <w:szCs w:val="32"/>
        </w:rPr>
        <w:t>项以上，水肥利用效率分别提高</w:t>
      </w:r>
      <w:r>
        <w:rPr>
          <w:rFonts w:ascii="Times New Roman" w:eastAsia="仿宋_GB2312" w:hAnsi="Times New Roman"/>
          <w:sz w:val="32"/>
          <w:szCs w:val="32"/>
        </w:rPr>
        <w:t>8%</w:t>
      </w:r>
      <w:r>
        <w:rPr>
          <w:rFonts w:ascii="Times New Roman" w:eastAsia="仿宋_GB2312" w:hAnsi="Times New Roman" w:hint="eastAsia"/>
          <w:sz w:val="32"/>
          <w:szCs w:val="32"/>
        </w:rPr>
        <w:t>以上，减肥减药</w:t>
      </w:r>
      <w:r>
        <w:rPr>
          <w:rFonts w:ascii="Times New Roman" w:eastAsia="仿宋_GB2312" w:hAnsi="Times New Roman"/>
          <w:sz w:val="32"/>
          <w:szCs w:val="32"/>
        </w:rPr>
        <w:t>10%</w:t>
      </w:r>
      <w:r>
        <w:rPr>
          <w:rFonts w:ascii="Times New Roman" w:eastAsia="仿宋_GB2312" w:hAnsi="Times New Roman" w:hint="eastAsia"/>
          <w:sz w:val="32"/>
          <w:szCs w:val="32"/>
        </w:rPr>
        <w:t>以上；优质品种配套的保优丰产技术生产的稻米食味值达到</w:t>
      </w:r>
      <w:r>
        <w:rPr>
          <w:rFonts w:ascii="Times New Roman" w:eastAsia="仿宋_GB2312" w:hAnsi="Times New Roman"/>
          <w:sz w:val="32"/>
          <w:szCs w:val="32"/>
        </w:rPr>
        <w:t>85%</w:t>
      </w:r>
      <w:r>
        <w:rPr>
          <w:rFonts w:ascii="Times New Roman" w:eastAsia="仿宋_GB2312" w:hAnsi="Times New Roman" w:hint="eastAsia"/>
          <w:sz w:val="32"/>
          <w:szCs w:val="32"/>
        </w:rPr>
        <w:t>以上，达到国家</w:t>
      </w:r>
      <w:r>
        <w:rPr>
          <w:rFonts w:ascii="宋体" w:hAnsi="宋体" w:cs="宋体" w:hint="eastAsia"/>
          <w:sz w:val="32"/>
          <w:szCs w:val="32"/>
        </w:rPr>
        <w:t>Ⅰ</w:t>
      </w:r>
      <w:r>
        <w:rPr>
          <w:rFonts w:ascii="Times New Roman" w:eastAsia="仿宋_GB2312" w:hAnsi="Times New Roman" w:hint="eastAsia"/>
          <w:sz w:val="32"/>
          <w:szCs w:val="32"/>
        </w:rPr>
        <w:t>级优质米；在不同积温区技术模式每年推广</w:t>
      </w:r>
      <w:r>
        <w:rPr>
          <w:rFonts w:ascii="Times New Roman" w:eastAsia="仿宋_GB2312" w:hAnsi="Times New Roman"/>
          <w:sz w:val="32"/>
          <w:szCs w:val="32"/>
        </w:rPr>
        <w:t>150</w:t>
      </w:r>
      <w:r>
        <w:rPr>
          <w:rFonts w:ascii="Times New Roman" w:eastAsia="仿宋_GB2312" w:hAnsi="Times New Roman" w:hint="eastAsia"/>
          <w:sz w:val="32"/>
          <w:szCs w:val="32"/>
        </w:rPr>
        <w:t>万亩以上，累计推广面积达</w:t>
      </w:r>
      <w:r>
        <w:rPr>
          <w:rFonts w:ascii="Times New Roman" w:eastAsia="仿宋_GB2312" w:hAnsi="Times New Roman"/>
          <w:sz w:val="32"/>
          <w:szCs w:val="32"/>
        </w:rPr>
        <w:t>500</w:t>
      </w:r>
      <w:r>
        <w:rPr>
          <w:rFonts w:ascii="Times New Roman" w:eastAsia="仿宋_GB2312" w:hAnsi="Times New Roman" w:hint="eastAsia"/>
          <w:sz w:val="32"/>
          <w:szCs w:val="32"/>
        </w:rPr>
        <w:t>万亩。</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2</w:t>
      </w:r>
      <w:r>
        <w:rPr>
          <w:rFonts w:ascii="Times New Roman" w:eastAsia="仿宋_GB2312" w:hAnsi="Times New Roman" w:hint="eastAsia"/>
          <w:b/>
          <w:sz w:val="32"/>
          <w:szCs w:val="32"/>
        </w:rPr>
        <w:t>．</w:t>
      </w:r>
      <w:bookmarkStart w:id="0" w:name="_GoBack"/>
      <w:bookmarkEnd w:id="0"/>
      <w:r>
        <w:rPr>
          <w:rFonts w:ascii="Times New Roman" w:eastAsia="仿宋_GB2312" w:hAnsi="Times New Roman" w:hint="eastAsia"/>
          <w:b/>
          <w:sz w:val="32"/>
          <w:szCs w:val="32"/>
        </w:rPr>
        <w:t>玉米绿色高产高效生产关键技术研究与示范</w:t>
      </w:r>
    </w:p>
    <w:p w:rsidR="000A5F03" w:rsidRDefault="000A5F03">
      <w:pPr>
        <w:spacing w:line="560" w:lineRule="exact"/>
        <w:ind w:firstLine="648"/>
        <w:rPr>
          <w:rFonts w:ascii="Times New Roman" w:eastAsia="仿宋_GB2312" w:hAnsi="Times New Roman"/>
          <w:sz w:val="32"/>
          <w:szCs w:val="32"/>
        </w:rPr>
      </w:pPr>
      <w:r>
        <w:rPr>
          <w:rFonts w:ascii="Times New Roman" w:eastAsia="仿宋_GB2312" w:hAnsi="Times New Roman" w:hint="eastAsia"/>
          <w:sz w:val="32"/>
          <w:szCs w:val="32"/>
        </w:rPr>
        <w:t>研究内容：针对作物结构调整和发展畜牧业的饲料需求，开展饲料玉米高产栽培与青贮技术研究；针对西部半干旱区春旱和夏季伏旱严重障碍玉米高产问题，开展玉米抗旱保护性耕作技术研究；针对玉米过量施肥用药，导致肥料利用率低和环境污染加重问题</w:t>
      </w:r>
      <w:r>
        <w:rPr>
          <w:rFonts w:ascii="Times New Roman" w:eastAsia="仿宋_GB2312" w:hAnsi="Times New Roman"/>
          <w:sz w:val="32"/>
          <w:szCs w:val="32"/>
        </w:rPr>
        <w:t xml:space="preserve">, </w:t>
      </w:r>
      <w:r>
        <w:rPr>
          <w:rFonts w:ascii="Times New Roman" w:eastAsia="仿宋_GB2312" w:hAnsi="Times New Roman" w:hint="eastAsia"/>
          <w:sz w:val="32"/>
          <w:szCs w:val="32"/>
        </w:rPr>
        <w:t>开展节肥减药技术研究；针对种植业结构调整和供给侧改革的需要，开展鲜食玉米绿色优质生产关键技术研究；对关键技术进行集成组装，建立示范区进行有显示度的示范推广。</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考核指标：建立绿色高产高效生产技术模式</w:t>
      </w:r>
      <w:r>
        <w:rPr>
          <w:rFonts w:ascii="Times New Roman" w:eastAsia="仿宋_GB2312" w:hAnsi="Times New Roman"/>
          <w:sz w:val="32"/>
          <w:szCs w:val="32"/>
        </w:rPr>
        <w:t>4-6</w:t>
      </w:r>
      <w:r>
        <w:rPr>
          <w:rFonts w:ascii="Times New Roman" w:eastAsia="仿宋_GB2312" w:hAnsi="Times New Roman" w:hint="eastAsia"/>
          <w:sz w:val="32"/>
          <w:szCs w:val="32"/>
        </w:rPr>
        <w:t>套，地方标准</w:t>
      </w:r>
      <w:r>
        <w:rPr>
          <w:rFonts w:ascii="Times New Roman" w:eastAsia="仿宋_GB2312" w:hAnsi="Times New Roman"/>
          <w:sz w:val="32"/>
          <w:szCs w:val="32"/>
        </w:rPr>
        <w:t>4</w:t>
      </w:r>
      <w:r>
        <w:rPr>
          <w:rFonts w:ascii="Times New Roman" w:eastAsia="仿宋_GB2312" w:hAnsi="Times New Roman" w:hint="eastAsia"/>
          <w:sz w:val="32"/>
          <w:szCs w:val="32"/>
        </w:rPr>
        <w:t>项以上，专用玉米种植示范基地</w:t>
      </w:r>
      <w:r>
        <w:rPr>
          <w:rFonts w:ascii="Times New Roman" w:eastAsia="仿宋_GB2312" w:hAnsi="Times New Roman"/>
          <w:sz w:val="32"/>
          <w:szCs w:val="32"/>
        </w:rPr>
        <w:t>8</w:t>
      </w:r>
      <w:r>
        <w:rPr>
          <w:rFonts w:ascii="Times New Roman" w:eastAsia="仿宋_GB2312" w:hAnsi="Times New Roman" w:hint="eastAsia"/>
          <w:sz w:val="32"/>
          <w:szCs w:val="32"/>
        </w:rPr>
        <w:t>个，肥料利用效率提高</w:t>
      </w:r>
      <w:r>
        <w:rPr>
          <w:rFonts w:ascii="Times New Roman" w:eastAsia="仿宋_GB2312" w:hAnsi="Times New Roman"/>
          <w:sz w:val="32"/>
          <w:szCs w:val="32"/>
        </w:rPr>
        <w:t>8%</w:t>
      </w:r>
      <w:r>
        <w:rPr>
          <w:rFonts w:ascii="Times New Roman" w:eastAsia="仿宋_GB2312" w:hAnsi="Times New Roman" w:hint="eastAsia"/>
          <w:sz w:val="32"/>
          <w:szCs w:val="32"/>
        </w:rPr>
        <w:t>以上，减肥减药</w:t>
      </w:r>
      <w:r>
        <w:rPr>
          <w:rFonts w:ascii="Times New Roman" w:eastAsia="仿宋_GB2312" w:hAnsi="Times New Roman"/>
          <w:sz w:val="32"/>
          <w:szCs w:val="32"/>
        </w:rPr>
        <w:t>10%</w:t>
      </w:r>
      <w:r>
        <w:rPr>
          <w:rFonts w:ascii="Times New Roman" w:eastAsia="仿宋_GB2312" w:hAnsi="Times New Roman" w:hint="eastAsia"/>
          <w:sz w:val="32"/>
          <w:szCs w:val="32"/>
        </w:rPr>
        <w:t>以上；在不同积温区技术模式每年推广</w:t>
      </w:r>
      <w:r>
        <w:rPr>
          <w:rFonts w:ascii="Times New Roman" w:eastAsia="仿宋_GB2312" w:hAnsi="Times New Roman"/>
          <w:sz w:val="32"/>
          <w:szCs w:val="32"/>
        </w:rPr>
        <w:t>150</w:t>
      </w:r>
      <w:r>
        <w:rPr>
          <w:rFonts w:ascii="Times New Roman" w:eastAsia="仿宋_GB2312" w:hAnsi="Times New Roman" w:hint="eastAsia"/>
          <w:sz w:val="32"/>
          <w:szCs w:val="32"/>
        </w:rPr>
        <w:t>万亩以上，累计推广面积达</w:t>
      </w:r>
      <w:r>
        <w:rPr>
          <w:rFonts w:ascii="Times New Roman" w:eastAsia="仿宋_GB2312" w:hAnsi="Times New Roman"/>
          <w:sz w:val="32"/>
          <w:szCs w:val="32"/>
        </w:rPr>
        <w:t>500</w:t>
      </w:r>
      <w:r>
        <w:rPr>
          <w:rFonts w:ascii="Times New Roman" w:eastAsia="仿宋_GB2312" w:hAnsi="Times New Roman" w:hint="eastAsia"/>
          <w:sz w:val="32"/>
          <w:szCs w:val="32"/>
        </w:rPr>
        <w:t>万亩。</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3</w:t>
      </w:r>
      <w:r>
        <w:rPr>
          <w:rFonts w:ascii="Times New Roman" w:eastAsia="仿宋_GB2312" w:hAnsi="Times New Roman" w:hint="eastAsia"/>
          <w:b/>
          <w:sz w:val="32"/>
          <w:szCs w:val="32"/>
        </w:rPr>
        <w:t>．大豆高产高效关键技术研究与示范</w:t>
      </w:r>
    </w:p>
    <w:p w:rsidR="000A5F03" w:rsidRDefault="000A5F03">
      <w:pPr>
        <w:spacing w:line="560" w:lineRule="exact"/>
        <w:ind w:firstLine="648"/>
        <w:rPr>
          <w:rFonts w:ascii="Times New Roman" w:eastAsia="仿宋_GB2312" w:hAnsi="Times New Roman"/>
          <w:sz w:val="32"/>
          <w:szCs w:val="32"/>
        </w:rPr>
      </w:pPr>
      <w:r>
        <w:rPr>
          <w:rFonts w:ascii="Times New Roman" w:eastAsia="仿宋_GB2312" w:hAnsi="Times New Roman" w:hint="eastAsia"/>
          <w:sz w:val="32"/>
          <w:szCs w:val="32"/>
        </w:rPr>
        <w:t>研究内容：针对我省大豆生产单产水平低、效益差，基于品种产量潜力与生产的产量差，开展提高大豆单产的栽培关键技术研究；针对大豆轮作不规范等问题，构建大豆合理轮作体系，开展大豆和玉米、大豆和小麦</w:t>
      </w:r>
      <w:r>
        <w:rPr>
          <w:rFonts w:ascii="Times New Roman" w:eastAsia="仿宋_GB2312" w:hAnsi="Times New Roman"/>
          <w:sz w:val="32"/>
          <w:szCs w:val="32"/>
        </w:rPr>
        <w:t>(</w:t>
      </w:r>
      <w:r>
        <w:rPr>
          <w:rFonts w:ascii="Times New Roman" w:eastAsia="仿宋_GB2312" w:hAnsi="Times New Roman" w:hint="eastAsia"/>
          <w:sz w:val="32"/>
          <w:szCs w:val="32"/>
        </w:rPr>
        <w:t>马铃薯、杂粮</w:t>
      </w:r>
      <w:r>
        <w:rPr>
          <w:rFonts w:ascii="Times New Roman" w:eastAsia="仿宋_GB2312" w:hAnsi="Times New Roman"/>
          <w:sz w:val="32"/>
          <w:szCs w:val="32"/>
        </w:rPr>
        <w:t>)</w:t>
      </w:r>
      <w:r>
        <w:rPr>
          <w:rFonts w:ascii="Times New Roman" w:eastAsia="仿宋_GB2312" w:hAnsi="Times New Roman" w:hint="eastAsia"/>
          <w:sz w:val="32"/>
          <w:szCs w:val="32"/>
        </w:rPr>
        <w:t>轮作条件下的节肥减药技术研究；针对西部半干旱区春旱和夏季伏旱严重障碍大豆高产问题，开展大豆抗旱保护性耕作技术研究；针对大豆食品加工和特色需要，开展高蛋白及专用大豆品种的保优高产栽培技术研究；对关键技术进行集成组装，建立示范区进行有显示度的示范推广。</w:t>
      </w:r>
    </w:p>
    <w:p w:rsidR="000A5F03" w:rsidRDefault="000A5F03">
      <w:pPr>
        <w:spacing w:line="560" w:lineRule="exact"/>
        <w:rPr>
          <w:rFonts w:ascii="Times New Roman" w:eastAsia="仿宋_GB2312" w:hAnsi="Times New Roman"/>
          <w:b/>
          <w:bCs/>
          <w:sz w:val="32"/>
          <w:szCs w:val="32"/>
        </w:rPr>
      </w:pPr>
      <w:r>
        <w:rPr>
          <w:rFonts w:ascii="Times New Roman" w:eastAsia="仿宋_GB2312" w:hAnsi="Times New Roman" w:hint="eastAsia"/>
          <w:sz w:val="32"/>
          <w:szCs w:val="32"/>
        </w:rPr>
        <w:t>考核指标：建立大豆高产高效生产技术模式</w:t>
      </w:r>
      <w:r>
        <w:rPr>
          <w:rFonts w:ascii="Times New Roman" w:eastAsia="仿宋_GB2312" w:hAnsi="Times New Roman"/>
          <w:sz w:val="32"/>
          <w:szCs w:val="32"/>
        </w:rPr>
        <w:t>4-6</w:t>
      </w:r>
      <w:r>
        <w:rPr>
          <w:rFonts w:ascii="Times New Roman" w:eastAsia="仿宋_GB2312" w:hAnsi="Times New Roman" w:hint="eastAsia"/>
          <w:sz w:val="32"/>
          <w:szCs w:val="32"/>
        </w:rPr>
        <w:t>套，地方标准</w:t>
      </w:r>
      <w:r>
        <w:rPr>
          <w:rFonts w:ascii="Times New Roman" w:eastAsia="仿宋_GB2312" w:hAnsi="Times New Roman"/>
          <w:sz w:val="32"/>
          <w:szCs w:val="32"/>
        </w:rPr>
        <w:t>4</w:t>
      </w:r>
      <w:r>
        <w:rPr>
          <w:rFonts w:ascii="Times New Roman" w:eastAsia="仿宋_GB2312" w:hAnsi="Times New Roman" w:hint="eastAsia"/>
          <w:sz w:val="32"/>
          <w:szCs w:val="32"/>
        </w:rPr>
        <w:t>项以上，专用大豆种植示范基地</w:t>
      </w:r>
      <w:r>
        <w:rPr>
          <w:rFonts w:ascii="Times New Roman" w:eastAsia="仿宋_GB2312" w:hAnsi="Times New Roman"/>
          <w:sz w:val="32"/>
          <w:szCs w:val="32"/>
        </w:rPr>
        <w:t>4</w:t>
      </w:r>
      <w:r>
        <w:rPr>
          <w:rFonts w:ascii="Times New Roman" w:eastAsia="仿宋_GB2312" w:hAnsi="Times New Roman" w:hint="eastAsia"/>
          <w:sz w:val="32"/>
          <w:szCs w:val="32"/>
        </w:rPr>
        <w:t>个以上，试验区亩产</w:t>
      </w:r>
      <w:r>
        <w:rPr>
          <w:rFonts w:ascii="Times New Roman" w:eastAsia="仿宋_GB2312" w:hAnsi="Times New Roman"/>
          <w:sz w:val="32"/>
          <w:szCs w:val="32"/>
        </w:rPr>
        <w:t>200</w:t>
      </w:r>
      <w:r>
        <w:rPr>
          <w:rFonts w:ascii="Times New Roman" w:eastAsia="仿宋_GB2312" w:hAnsi="Times New Roman" w:hint="eastAsia"/>
          <w:sz w:val="32"/>
          <w:szCs w:val="32"/>
        </w:rPr>
        <w:t>公斤以上，示范区亩产</w:t>
      </w:r>
      <w:r>
        <w:rPr>
          <w:rFonts w:ascii="Times New Roman" w:eastAsia="仿宋_GB2312" w:hAnsi="Times New Roman"/>
          <w:sz w:val="32"/>
          <w:szCs w:val="32"/>
        </w:rPr>
        <w:t>180</w:t>
      </w:r>
      <w:r>
        <w:rPr>
          <w:rFonts w:ascii="Times New Roman" w:eastAsia="仿宋_GB2312" w:hAnsi="Times New Roman" w:hint="eastAsia"/>
          <w:sz w:val="32"/>
          <w:szCs w:val="32"/>
        </w:rPr>
        <w:t>公斤以上，肥料利用效率提高</w:t>
      </w:r>
      <w:r>
        <w:rPr>
          <w:rFonts w:ascii="Times New Roman" w:eastAsia="仿宋_GB2312" w:hAnsi="Times New Roman"/>
          <w:sz w:val="32"/>
          <w:szCs w:val="32"/>
        </w:rPr>
        <w:t>8%</w:t>
      </w:r>
      <w:r>
        <w:rPr>
          <w:rFonts w:ascii="Times New Roman" w:eastAsia="仿宋_GB2312" w:hAnsi="Times New Roman" w:hint="eastAsia"/>
          <w:sz w:val="32"/>
          <w:szCs w:val="32"/>
        </w:rPr>
        <w:t>以上，减肥减药</w:t>
      </w:r>
      <w:r>
        <w:rPr>
          <w:rFonts w:ascii="Times New Roman" w:eastAsia="仿宋_GB2312" w:hAnsi="Times New Roman"/>
          <w:sz w:val="32"/>
          <w:szCs w:val="32"/>
        </w:rPr>
        <w:t>10%</w:t>
      </w:r>
      <w:r>
        <w:rPr>
          <w:rFonts w:ascii="Times New Roman" w:eastAsia="仿宋_GB2312" w:hAnsi="Times New Roman" w:hint="eastAsia"/>
          <w:sz w:val="32"/>
          <w:szCs w:val="32"/>
        </w:rPr>
        <w:t>以上；在不同积温区技术模式每年推广</w:t>
      </w:r>
      <w:r>
        <w:rPr>
          <w:rFonts w:ascii="Times New Roman" w:eastAsia="仿宋_GB2312" w:hAnsi="Times New Roman"/>
          <w:sz w:val="32"/>
          <w:szCs w:val="32"/>
        </w:rPr>
        <w:t>150</w:t>
      </w:r>
      <w:r>
        <w:rPr>
          <w:rFonts w:ascii="Times New Roman" w:eastAsia="仿宋_GB2312" w:hAnsi="Times New Roman" w:hint="eastAsia"/>
          <w:sz w:val="32"/>
          <w:szCs w:val="32"/>
        </w:rPr>
        <w:t>万亩以上，累计推广面积达</w:t>
      </w:r>
      <w:r>
        <w:rPr>
          <w:rFonts w:ascii="Times New Roman" w:eastAsia="仿宋_GB2312" w:hAnsi="Times New Roman"/>
          <w:sz w:val="32"/>
          <w:szCs w:val="32"/>
        </w:rPr>
        <w:t>500</w:t>
      </w:r>
      <w:r>
        <w:rPr>
          <w:rFonts w:ascii="Times New Roman" w:eastAsia="仿宋_GB2312" w:hAnsi="Times New Roman" w:hint="eastAsia"/>
          <w:sz w:val="32"/>
          <w:szCs w:val="32"/>
        </w:rPr>
        <w:t>万亩。</w:t>
      </w:r>
      <w:r>
        <w:rPr>
          <w:rFonts w:ascii="Times New Roman" w:eastAsia="仿宋_GB2312" w:hAnsi="Times New Roman"/>
          <w:sz w:val="32"/>
          <w:szCs w:val="32"/>
        </w:rPr>
        <w:t xml:space="preserve">  </w:t>
      </w:r>
      <w:r>
        <w:rPr>
          <w:rFonts w:ascii="Times New Roman" w:eastAsia="仿宋_GB2312" w:hAnsi="Times New Roman"/>
          <w:b/>
          <w:bCs/>
          <w:sz w:val="32"/>
          <w:szCs w:val="32"/>
        </w:rPr>
        <w:t xml:space="preserve"> </w:t>
      </w:r>
    </w:p>
    <w:p w:rsidR="000A5F03" w:rsidRDefault="000A5F03">
      <w:pPr>
        <w:spacing w:line="560" w:lineRule="exact"/>
        <w:rPr>
          <w:rFonts w:ascii="Times New Roman" w:eastAsia="仿宋_GB2312" w:hAnsi="Times New Roman"/>
          <w:b/>
          <w:sz w:val="32"/>
          <w:szCs w:val="32"/>
        </w:rPr>
      </w:pPr>
      <w:r>
        <w:rPr>
          <w:rFonts w:ascii="Times New Roman" w:eastAsia="仿宋_GB2312" w:hAnsi="Times New Roman"/>
          <w:b/>
          <w:sz w:val="32"/>
          <w:szCs w:val="32"/>
        </w:rPr>
        <w:t>4</w:t>
      </w:r>
      <w:r>
        <w:rPr>
          <w:rFonts w:ascii="Times New Roman" w:eastAsia="仿宋_GB2312" w:hAnsi="Times New Roman" w:hint="eastAsia"/>
          <w:b/>
          <w:sz w:val="32"/>
          <w:szCs w:val="32"/>
        </w:rPr>
        <w:t>．寒地果菜优质高效栽培技术研究与示范</w:t>
      </w:r>
    </w:p>
    <w:p w:rsidR="000A5F03" w:rsidRDefault="000A5F03">
      <w:pPr>
        <w:widowControl/>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研究内容：针对寒地温室等设施栽培的湿度大及弱光环境的问题，开展黄瓜、番茄、茄子、辣椒、菜豆、西甜瓜及草莓等化肥农药双减的绿色生产关键技术研究；针对选育引进的核果、仁果、葡萄、蓝靛果、黑穗醋栗（鲜食）等优良果树品种，开展名优特果菜新品种配套的嫁接高效育苗技术研究；针对特色浆果收获人工成本高的问题，开展蓝靛果半机械化栽培技术研究；针对我省气候特点，设计适宜冬季生产、春季抢早、秋季延后栽培的棚室新结构及配套生产名优特果菜，延长供应期的技术研究。</w:t>
      </w:r>
    </w:p>
    <w:p w:rsidR="000A5F03" w:rsidRDefault="000A5F03">
      <w:pPr>
        <w:widowControl/>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考核指标：建立寒地温室等设施栽培瓜菜的化肥农药双减的绿色生产技术模式</w:t>
      </w:r>
      <w:r>
        <w:rPr>
          <w:rFonts w:ascii="Times New Roman" w:eastAsia="仿宋_GB2312" w:hAnsi="Times New Roman"/>
          <w:sz w:val="32"/>
          <w:szCs w:val="32"/>
        </w:rPr>
        <w:t>8-10</w:t>
      </w:r>
      <w:r>
        <w:rPr>
          <w:rFonts w:ascii="Times New Roman" w:eastAsia="仿宋_GB2312" w:hAnsi="Times New Roman" w:hint="eastAsia"/>
          <w:sz w:val="32"/>
          <w:szCs w:val="32"/>
        </w:rPr>
        <w:t>个，地方标准</w:t>
      </w:r>
      <w:r>
        <w:rPr>
          <w:rFonts w:ascii="Times New Roman" w:eastAsia="仿宋_GB2312" w:hAnsi="Times New Roman"/>
          <w:sz w:val="32"/>
          <w:szCs w:val="32"/>
        </w:rPr>
        <w:t>4-6</w:t>
      </w:r>
      <w:r>
        <w:rPr>
          <w:rFonts w:ascii="Times New Roman" w:eastAsia="仿宋_GB2312" w:hAnsi="Times New Roman" w:hint="eastAsia"/>
          <w:sz w:val="32"/>
          <w:szCs w:val="32"/>
        </w:rPr>
        <w:t>项；建立名优特果菜新品种配套的嫁接高效育苗技术</w:t>
      </w:r>
      <w:r>
        <w:rPr>
          <w:rFonts w:ascii="Times New Roman" w:eastAsia="仿宋_GB2312" w:hAnsi="Times New Roman"/>
          <w:sz w:val="32"/>
          <w:szCs w:val="32"/>
        </w:rPr>
        <w:t>3-5</w:t>
      </w:r>
      <w:r>
        <w:rPr>
          <w:rFonts w:ascii="Times New Roman" w:eastAsia="仿宋_GB2312" w:hAnsi="Times New Roman" w:hint="eastAsia"/>
          <w:sz w:val="32"/>
          <w:szCs w:val="32"/>
        </w:rPr>
        <w:t>个，蓝靛果半机械化栽培技术模式</w:t>
      </w:r>
      <w:r>
        <w:rPr>
          <w:rFonts w:ascii="Times New Roman" w:eastAsia="仿宋_GB2312" w:hAnsi="Times New Roman"/>
          <w:sz w:val="32"/>
          <w:szCs w:val="32"/>
        </w:rPr>
        <w:t>1-2</w:t>
      </w:r>
      <w:r>
        <w:rPr>
          <w:rFonts w:ascii="Times New Roman" w:eastAsia="仿宋_GB2312" w:hAnsi="Times New Roman" w:hint="eastAsia"/>
          <w:sz w:val="32"/>
          <w:szCs w:val="32"/>
        </w:rPr>
        <w:t>个，研发设计新型棚室结构类型</w:t>
      </w:r>
      <w:r>
        <w:rPr>
          <w:rFonts w:ascii="Times New Roman" w:eastAsia="仿宋_GB2312" w:hAnsi="Times New Roman"/>
          <w:sz w:val="32"/>
          <w:szCs w:val="32"/>
        </w:rPr>
        <w:t>5</w:t>
      </w:r>
      <w:r>
        <w:rPr>
          <w:rFonts w:ascii="Times New Roman" w:eastAsia="仿宋_GB2312" w:hAnsi="Times New Roman" w:hint="eastAsia"/>
          <w:sz w:val="32"/>
          <w:szCs w:val="32"/>
        </w:rPr>
        <w:t>项；在我省不同生态区域建立生产示范基地，单位面积经济效益提高</w:t>
      </w:r>
      <w:r>
        <w:rPr>
          <w:rFonts w:ascii="Times New Roman" w:eastAsia="仿宋_GB2312" w:hAnsi="Times New Roman"/>
          <w:sz w:val="32"/>
          <w:szCs w:val="32"/>
        </w:rPr>
        <w:t>20%</w:t>
      </w:r>
      <w:r>
        <w:rPr>
          <w:rFonts w:ascii="Times New Roman" w:eastAsia="仿宋_GB2312" w:hAnsi="Times New Roman" w:hint="eastAsia"/>
          <w:sz w:val="32"/>
          <w:szCs w:val="32"/>
        </w:rPr>
        <w:t>以上。</w:t>
      </w:r>
    </w:p>
    <w:p w:rsidR="000A5F03" w:rsidRDefault="000A5F03">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5.</w:t>
      </w:r>
      <w:r>
        <w:rPr>
          <w:rFonts w:ascii="Times New Roman" w:eastAsia="仿宋_GB2312" w:hAnsi="Times New Roman" w:hint="eastAsia"/>
          <w:b/>
          <w:bCs/>
          <w:sz w:val="32"/>
          <w:szCs w:val="32"/>
        </w:rPr>
        <w:t>黑龙江省主要农作物病虫草害绿色植保综合防控技术研究与推广</w:t>
      </w:r>
    </w:p>
    <w:p w:rsidR="000A5F03" w:rsidRDefault="000A5F03">
      <w:pPr>
        <w:spacing w:line="560" w:lineRule="exact"/>
        <w:rPr>
          <w:rFonts w:ascii="Times New Roman" w:hAnsi="Times New Roman"/>
        </w:rPr>
      </w:pPr>
      <w:r>
        <w:rPr>
          <w:rFonts w:ascii="Times New Roman" w:eastAsia="仿宋_GB2312" w:hAnsi="Times New Roman"/>
          <w:sz w:val="32"/>
          <w:szCs w:val="32"/>
        </w:rPr>
        <w:t xml:space="preserve">    </w:t>
      </w:r>
      <w:r>
        <w:rPr>
          <w:rFonts w:ascii="Times New Roman" w:eastAsia="仿宋_GB2312" w:hAnsi="Times New Roman" w:hint="eastAsia"/>
          <w:sz w:val="32"/>
          <w:szCs w:val="32"/>
        </w:rPr>
        <w:t>研究内容：抗病虫作物新品种或主栽品种的鉴选与利用研究；主要农作物病虫害发生规律和成灾监测研究；高效低毒药剂的筛选及适合机械化应用的复合菌剂、新型高效拌种剂的研发与应用研究；农作物种植结构变化，除草剂安全使用技术及对后茬作物的安全阈值研究；优化集成以应用抗病虫品种为基础，绿色生态防控技术为辅的病虫草害综合环保防控技术研究及示范。</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考核指标：筛选出抗病或虫害作物新品种或主栽品种</w:t>
      </w:r>
      <w:r>
        <w:rPr>
          <w:rFonts w:ascii="Times New Roman" w:eastAsia="仿宋_GB2312" w:hAnsi="Times New Roman"/>
          <w:sz w:val="32"/>
          <w:szCs w:val="32"/>
        </w:rPr>
        <w:t>10~20</w:t>
      </w:r>
      <w:r>
        <w:rPr>
          <w:rFonts w:ascii="Times New Roman" w:eastAsia="仿宋_GB2312" w:hAnsi="Times New Roman" w:hint="eastAsia"/>
          <w:sz w:val="32"/>
          <w:szCs w:val="32"/>
        </w:rPr>
        <w:t>份；明确主要农作物病虫害发生规律及灾变机理；筛选出高效低毒的化学农药或制剂</w:t>
      </w:r>
      <w:r>
        <w:rPr>
          <w:rFonts w:ascii="Times New Roman" w:eastAsia="仿宋_GB2312" w:hAnsi="Times New Roman"/>
          <w:sz w:val="32"/>
          <w:szCs w:val="32"/>
        </w:rPr>
        <w:t>5</w:t>
      </w:r>
      <w:r>
        <w:rPr>
          <w:rFonts w:ascii="Times New Roman" w:eastAsia="仿宋_GB2312" w:hAnsi="Times New Roman" w:hint="eastAsia"/>
          <w:sz w:val="32"/>
          <w:szCs w:val="32"/>
        </w:rPr>
        <w:t>种以上；收集整理鉴定优化菌种</w:t>
      </w:r>
      <w:r>
        <w:rPr>
          <w:rFonts w:ascii="Times New Roman" w:eastAsia="仿宋_GB2312" w:hAnsi="Times New Roman"/>
          <w:sz w:val="32"/>
          <w:szCs w:val="32"/>
        </w:rPr>
        <w:t>50</w:t>
      </w:r>
      <w:r>
        <w:rPr>
          <w:rFonts w:ascii="Times New Roman" w:eastAsia="仿宋_GB2312" w:hAnsi="Times New Roman" w:hint="eastAsia"/>
          <w:sz w:val="32"/>
          <w:szCs w:val="32"/>
        </w:rPr>
        <w:t>份，菌剂配方产品</w:t>
      </w:r>
      <w:r>
        <w:rPr>
          <w:rFonts w:ascii="Times New Roman" w:eastAsia="仿宋_GB2312" w:hAnsi="Times New Roman"/>
          <w:sz w:val="32"/>
          <w:szCs w:val="32"/>
        </w:rPr>
        <w:t>10</w:t>
      </w:r>
      <w:r>
        <w:rPr>
          <w:rFonts w:ascii="Times New Roman" w:eastAsia="仿宋_GB2312" w:hAnsi="Times New Roman" w:hint="eastAsia"/>
          <w:sz w:val="32"/>
          <w:szCs w:val="32"/>
        </w:rPr>
        <w:t>种以上；研制出新型、高效拌种剂产品</w:t>
      </w:r>
      <w:r>
        <w:rPr>
          <w:rFonts w:ascii="Times New Roman" w:eastAsia="仿宋_GB2312" w:hAnsi="Times New Roman"/>
          <w:sz w:val="32"/>
          <w:szCs w:val="32"/>
        </w:rPr>
        <w:t>1~2</w:t>
      </w:r>
      <w:r>
        <w:rPr>
          <w:rFonts w:ascii="Times New Roman" w:eastAsia="仿宋_GB2312" w:hAnsi="Times New Roman" w:hint="eastAsia"/>
          <w:sz w:val="32"/>
          <w:szCs w:val="32"/>
        </w:rPr>
        <w:t>个；建立作物主产区主要病虫草害环保防控技术</w:t>
      </w:r>
      <w:r>
        <w:rPr>
          <w:rFonts w:ascii="Times New Roman" w:eastAsia="仿宋_GB2312" w:hAnsi="Times New Roman"/>
          <w:sz w:val="32"/>
          <w:szCs w:val="32"/>
        </w:rPr>
        <w:t>3</w:t>
      </w:r>
      <w:r>
        <w:rPr>
          <w:rFonts w:ascii="Times New Roman" w:eastAsia="仿宋_GB2312" w:hAnsi="Times New Roman" w:hint="eastAsia"/>
          <w:sz w:val="32"/>
          <w:szCs w:val="32"/>
        </w:rPr>
        <w:t>项；杂草防治技术规程或标准</w:t>
      </w:r>
      <w:r>
        <w:rPr>
          <w:rFonts w:ascii="Times New Roman" w:eastAsia="仿宋_GB2312" w:hAnsi="Times New Roman"/>
          <w:sz w:val="32"/>
          <w:szCs w:val="32"/>
        </w:rPr>
        <w:t>2~4</w:t>
      </w:r>
      <w:r>
        <w:rPr>
          <w:rFonts w:ascii="Times New Roman" w:eastAsia="仿宋_GB2312" w:hAnsi="Times New Roman" w:hint="eastAsia"/>
          <w:sz w:val="32"/>
          <w:szCs w:val="32"/>
        </w:rPr>
        <w:t>项；除草剂使用量减少</w:t>
      </w:r>
      <w:r>
        <w:rPr>
          <w:rFonts w:ascii="Times New Roman" w:eastAsia="仿宋_GB2312" w:hAnsi="Times New Roman"/>
          <w:sz w:val="32"/>
          <w:szCs w:val="32"/>
        </w:rPr>
        <w:t>20%</w:t>
      </w:r>
      <w:r>
        <w:rPr>
          <w:rFonts w:ascii="Times New Roman" w:eastAsia="仿宋_GB2312" w:hAnsi="Times New Roman" w:hint="eastAsia"/>
          <w:sz w:val="32"/>
          <w:szCs w:val="32"/>
        </w:rPr>
        <w:t>以上；建立生产技术规范体系</w:t>
      </w:r>
      <w:r>
        <w:rPr>
          <w:rFonts w:ascii="Times New Roman" w:eastAsia="仿宋_GB2312" w:hAnsi="Times New Roman"/>
          <w:sz w:val="32"/>
          <w:szCs w:val="32"/>
        </w:rPr>
        <w:t>3</w:t>
      </w:r>
      <w:r>
        <w:rPr>
          <w:rFonts w:ascii="Times New Roman" w:eastAsia="仿宋_GB2312" w:hAnsi="Times New Roman" w:hint="eastAsia"/>
          <w:sz w:val="32"/>
          <w:szCs w:val="32"/>
        </w:rPr>
        <w:t>套。</w:t>
      </w:r>
    </w:p>
    <w:p w:rsidR="000A5F03" w:rsidRDefault="000A5F03">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6.</w:t>
      </w:r>
      <w:r>
        <w:rPr>
          <w:rFonts w:ascii="Times New Roman" w:eastAsia="仿宋_GB2312" w:hAnsi="Times New Roman" w:hint="eastAsia"/>
          <w:b/>
          <w:bCs/>
          <w:sz w:val="32"/>
          <w:szCs w:val="32"/>
        </w:rPr>
        <w:t>东北地区珍贵树种良种选育、高效培育技术示范与推广</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黑龙江省红松、白桦、核桃楸、黄菠萝、水曲柳及东北红豆杉等北方珍贵树种良种少，良种使用率低，产业化开发程度不够等问题。开展红松、白桦、核桃楸、黄菠萝、水曲柳及东北红豆杉等东北珍贵树种的种质资源收集及良种选育技术研究，开展红松、核桃楸、黄菠萝、水曲柳及东北红豆杉等经济树种高产稳产技术研究，开展彩叶白桦等绿化树种快繁及高效培育技术研究。初步构建红松、白桦、核桃楸、黄菠萝、水曲柳及东北红豆杉等北方珍贵树种产业化高效培育技术体系链，提升我省林木良种竞争力，促进林农增产增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考核指标：选育红松、白桦、核桃楸、黄菠萝、水曲柳及东北红豆杉等适合其各自不同生态适宜区推广应用的良种</w:t>
      </w:r>
      <w:r>
        <w:rPr>
          <w:rFonts w:ascii="Times New Roman" w:eastAsia="仿宋_GB2312" w:hAnsi="Times New Roman"/>
          <w:sz w:val="32"/>
          <w:szCs w:val="32"/>
        </w:rPr>
        <w:t>3-5</w:t>
      </w:r>
      <w:r>
        <w:rPr>
          <w:rFonts w:ascii="Times New Roman" w:eastAsia="仿宋_GB2312" w:hAnsi="Times New Roman" w:hint="eastAsia"/>
          <w:sz w:val="32"/>
          <w:szCs w:val="32"/>
        </w:rPr>
        <w:t>个；申请地方标准</w:t>
      </w:r>
      <w:r>
        <w:rPr>
          <w:rFonts w:ascii="Times New Roman" w:eastAsia="仿宋_GB2312" w:hAnsi="Times New Roman"/>
          <w:sz w:val="32"/>
          <w:szCs w:val="32"/>
        </w:rPr>
        <w:t>2-3</w:t>
      </w:r>
      <w:r>
        <w:rPr>
          <w:rFonts w:ascii="Times New Roman" w:eastAsia="仿宋_GB2312" w:hAnsi="Times New Roman" w:hint="eastAsia"/>
          <w:sz w:val="32"/>
          <w:szCs w:val="32"/>
        </w:rPr>
        <w:t>个，提出不同树种高效培育技术体系</w:t>
      </w:r>
      <w:r>
        <w:rPr>
          <w:rFonts w:ascii="Times New Roman" w:eastAsia="仿宋_GB2312" w:hAnsi="Times New Roman"/>
          <w:sz w:val="32"/>
          <w:szCs w:val="32"/>
        </w:rPr>
        <w:t>2-3</w:t>
      </w:r>
      <w:r>
        <w:rPr>
          <w:rFonts w:ascii="Times New Roman" w:eastAsia="仿宋_GB2312" w:hAnsi="Times New Roman" w:hint="eastAsia"/>
          <w:sz w:val="32"/>
          <w:szCs w:val="32"/>
        </w:rPr>
        <w:t>项；根据不同树种特性和利用方向进行规模化生产示范与推广，单位面积经济效益提高</w:t>
      </w:r>
      <w:r>
        <w:rPr>
          <w:rFonts w:ascii="Times New Roman" w:eastAsia="仿宋_GB2312" w:hAnsi="Times New Roman"/>
          <w:sz w:val="32"/>
          <w:szCs w:val="32"/>
        </w:rPr>
        <w:t>20%</w:t>
      </w:r>
      <w:r>
        <w:rPr>
          <w:rFonts w:ascii="Times New Roman" w:eastAsia="仿宋_GB2312" w:hAnsi="Times New Roman" w:hint="eastAsia"/>
          <w:sz w:val="32"/>
          <w:szCs w:val="32"/>
        </w:rPr>
        <w:t>以上。</w:t>
      </w:r>
    </w:p>
    <w:p w:rsidR="000A5F03" w:rsidRDefault="000A5F03">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7.</w:t>
      </w:r>
      <w:r>
        <w:rPr>
          <w:rFonts w:ascii="Times New Roman" w:eastAsia="仿宋_GB2312" w:hAnsi="Times New Roman" w:hint="eastAsia"/>
          <w:b/>
          <w:bCs/>
          <w:sz w:val="32"/>
          <w:szCs w:val="32"/>
        </w:rPr>
        <w:t>优质牧草新品种选育与配套种植加工技术集成与示范</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寒区高蛋白含量牧草种植资源、配套种植技术水平不高、优质牧草高效加工技术匮乏，本项目开展牧草抗逆基因创新利用研究，寒区高蛋白牧草新品种选育，配套栽培生产技术研发以及优质牧草干草制备、青贮加工调制等技术研发与集成示范。寒地高蛋白饲草种质资源挖掘创新；寒区高蛋白牧草新品种（品系）选育与示范推广；苜蓿、燕麦等干草低损耗、高品质规模化生产技术的研究；苜蓿、燕麦等青贮调制技术研究建立优质牧草全链条科技创新技术体系。</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考核指标：选育优质高蛋白饲草新品种（系）</w:t>
      </w:r>
      <w:r>
        <w:rPr>
          <w:rFonts w:ascii="Times New Roman" w:eastAsia="仿宋_GB2312" w:hAnsi="Times New Roman"/>
          <w:sz w:val="32"/>
          <w:szCs w:val="32"/>
        </w:rPr>
        <w:t>2-3</w:t>
      </w:r>
      <w:r>
        <w:rPr>
          <w:rFonts w:ascii="Times New Roman" w:eastAsia="仿宋_GB2312" w:hAnsi="Times New Roman" w:hint="eastAsia"/>
          <w:sz w:val="32"/>
          <w:szCs w:val="32"/>
        </w:rPr>
        <w:t>个，新品种产量较原有品种提高</w:t>
      </w:r>
      <w:r>
        <w:rPr>
          <w:rFonts w:ascii="Times New Roman" w:eastAsia="仿宋_GB2312" w:hAnsi="Times New Roman"/>
          <w:sz w:val="32"/>
          <w:szCs w:val="32"/>
        </w:rPr>
        <w:t>10%</w:t>
      </w:r>
      <w:r>
        <w:rPr>
          <w:rFonts w:ascii="Times New Roman" w:eastAsia="仿宋_GB2312" w:hAnsi="Times New Roman" w:hint="eastAsia"/>
          <w:sz w:val="32"/>
          <w:szCs w:val="32"/>
        </w:rPr>
        <w:t>以上，开发寒区苜蓿、羊草等优质牧草提质增效新技术</w:t>
      </w:r>
      <w:r>
        <w:rPr>
          <w:rFonts w:ascii="Times New Roman" w:eastAsia="仿宋_GB2312" w:hAnsi="Times New Roman"/>
          <w:sz w:val="32"/>
          <w:szCs w:val="32"/>
        </w:rPr>
        <w:t>2-3</w:t>
      </w:r>
      <w:r>
        <w:rPr>
          <w:rFonts w:ascii="Times New Roman" w:eastAsia="仿宋_GB2312" w:hAnsi="Times New Roman" w:hint="eastAsia"/>
          <w:sz w:val="32"/>
          <w:szCs w:val="32"/>
        </w:rPr>
        <w:t>套；牧草核心示范区</w:t>
      </w:r>
      <w:r>
        <w:rPr>
          <w:rFonts w:ascii="Times New Roman" w:eastAsia="仿宋_GB2312" w:hAnsi="Times New Roman"/>
          <w:sz w:val="32"/>
          <w:szCs w:val="32"/>
        </w:rPr>
        <w:t>2000</w:t>
      </w:r>
      <w:r>
        <w:rPr>
          <w:rFonts w:ascii="Times New Roman" w:eastAsia="仿宋_GB2312" w:hAnsi="Times New Roman" w:hint="eastAsia"/>
          <w:sz w:val="32"/>
          <w:szCs w:val="32"/>
        </w:rPr>
        <w:t>亩，推广</w:t>
      </w:r>
      <w:r>
        <w:rPr>
          <w:rFonts w:ascii="Times New Roman" w:eastAsia="仿宋_GB2312" w:hAnsi="Times New Roman"/>
          <w:sz w:val="32"/>
          <w:szCs w:val="32"/>
        </w:rPr>
        <w:t>5000</w:t>
      </w:r>
      <w:r>
        <w:rPr>
          <w:rFonts w:ascii="Times New Roman" w:eastAsia="仿宋_GB2312" w:hAnsi="Times New Roman" w:hint="eastAsia"/>
          <w:sz w:val="32"/>
          <w:szCs w:val="32"/>
        </w:rPr>
        <w:t>亩；牧草整体效益提高</w:t>
      </w:r>
      <w:r>
        <w:rPr>
          <w:rFonts w:ascii="Times New Roman" w:eastAsia="仿宋_GB2312" w:hAnsi="Times New Roman"/>
          <w:sz w:val="32"/>
          <w:szCs w:val="32"/>
        </w:rPr>
        <w:t>5-8%</w:t>
      </w:r>
      <w:r>
        <w:rPr>
          <w:rFonts w:ascii="Times New Roman" w:eastAsia="仿宋_GB2312" w:hAnsi="Times New Roman" w:hint="eastAsia"/>
          <w:sz w:val="32"/>
          <w:szCs w:val="32"/>
        </w:rPr>
        <w:t>。</w:t>
      </w:r>
    </w:p>
    <w:p w:rsidR="000A5F03" w:rsidRDefault="000A5F03">
      <w:pPr>
        <w:spacing w:line="560" w:lineRule="exact"/>
        <w:rPr>
          <w:rFonts w:ascii="Times New Roman" w:eastAsia="仿宋_GB2312" w:hAnsi="Times New Roman"/>
          <w:b/>
          <w:bCs/>
          <w:sz w:val="32"/>
          <w:szCs w:val="32"/>
        </w:rPr>
      </w:pPr>
      <w:r>
        <w:rPr>
          <w:rFonts w:ascii="Times New Roman" w:eastAsia="仿宋_GB2312" w:hAnsi="Times New Roman"/>
          <w:b/>
          <w:bCs/>
          <w:sz w:val="32"/>
          <w:szCs w:val="32"/>
        </w:rPr>
        <w:t xml:space="preserve">    8.</w:t>
      </w:r>
      <w:r>
        <w:rPr>
          <w:rFonts w:ascii="Times New Roman" w:eastAsia="仿宋_GB2312" w:hAnsi="Times New Roman"/>
          <w:sz w:val="32"/>
          <w:szCs w:val="32"/>
        </w:rPr>
        <w:t xml:space="preserve"> </w:t>
      </w:r>
      <w:r>
        <w:rPr>
          <w:rFonts w:ascii="Times New Roman" w:eastAsia="仿宋_GB2312" w:hAnsi="Times New Roman" w:hint="eastAsia"/>
          <w:b/>
          <w:bCs/>
          <w:sz w:val="32"/>
          <w:szCs w:val="32"/>
        </w:rPr>
        <w:t>黑土保护利用与可持续发展的研究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研究内容：针对黑土表层变薄、变瘦、变硬的等问题，开展不同黑土地肥沃表层构建及黑土腐殖化物质提升技术研究。针对黑土</w:t>
      </w:r>
      <w:bookmarkStart w:id="1" w:name="_Hlk530553791"/>
      <w:r>
        <w:rPr>
          <w:rFonts w:ascii="Times New Roman" w:eastAsia="仿宋_GB2312" w:hAnsi="Times New Roman" w:hint="eastAsia"/>
          <w:sz w:val="32"/>
          <w:szCs w:val="32"/>
        </w:rPr>
        <w:t>农用化学品残留</w:t>
      </w:r>
      <w:bookmarkEnd w:id="1"/>
      <w:r>
        <w:rPr>
          <w:rFonts w:ascii="Times New Roman" w:eastAsia="仿宋_GB2312" w:hAnsi="Times New Roman" w:hint="eastAsia"/>
          <w:sz w:val="32"/>
          <w:szCs w:val="32"/>
        </w:rPr>
        <w:t>问题，土壤质量下降，开展保障绿色农产品安全的黑土环境健康及修复技术研究。针对黑土肥力下降、化肥施用量过多，养分含量下降和失衡、微生物区系失调等问题，开展高效生物菌肥、畜禽粪便处理及秸秆资源化利用的农田养分优化管理技术研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考核指标：原位生物修复技术模式</w:t>
      </w:r>
      <w:r>
        <w:rPr>
          <w:rFonts w:ascii="Times New Roman" w:eastAsia="仿宋_GB2312" w:hAnsi="Times New Roman"/>
          <w:sz w:val="32"/>
          <w:szCs w:val="32"/>
        </w:rPr>
        <w:t>2</w:t>
      </w:r>
      <w:r>
        <w:rPr>
          <w:rFonts w:ascii="Times New Roman" w:eastAsia="仿宋_GB2312" w:hAnsi="Times New Roman" w:hint="eastAsia"/>
          <w:sz w:val="32"/>
          <w:szCs w:val="32"/>
        </w:rPr>
        <w:t>套，典型污染修复肥料产品</w:t>
      </w:r>
      <w:r>
        <w:rPr>
          <w:rFonts w:ascii="Times New Roman" w:eastAsia="仿宋_GB2312" w:hAnsi="Times New Roman"/>
          <w:sz w:val="32"/>
          <w:szCs w:val="32"/>
        </w:rPr>
        <w:t>3-5</w:t>
      </w:r>
      <w:r>
        <w:rPr>
          <w:rFonts w:ascii="Times New Roman" w:eastAsia="仿宋_GB2312" w:hAnsi="Times New Roman" w:hint="eastAsia"/>
          <w:sz w:val="32"/>
          <w:szCs w:val="32"/>
        </w:rPr>
        <w:t>种；肥力评价指标体系</w:t>
      </w:r>
      <w:r>
        <w:rPr>
          <w:rFonts w:ascii="Times New Roman" w:eastAsia="仿宋_GB2312" w:hAnsi="Times New Roman"/>
          <w:sz w:val="32"/>
          <w:szCs w:val="32"/>
        </w:rPr>
        <w:t>1</w:t>
      </w:r>
      <w:r>
        <w:rPr>
          <w:rFonts w:ascii="Times New Roman" w:eastAsia="仿宋_GB2312" w:hAnsi="Times New Roman" w:hint="eastAsia"/>
          <w:sz w:val="32"/>
          <w:szCs w:val="32"/>
        </w:rPr>
        <w:t>套，微生态调控技术</w:t>
      </w:r>
      <w:r>
        <w:rPr>
          <w:rFonts w:ascii="Times New Roman" w:eastAsia="仿宋_GB2312" w:hAnsi="Times New Roman"/>
          <w:sz w:val="32"/>
          <w:szCs w:val="32"/>
        </w:rPr>
        <w:t>5</w:t>
      </w:r>
      <w:r>
        <w:rPr>
          <w:rFonts w:ascii="Times New Roman" w:eastAsia="仿宋_GB2312" w:hAnsi="Times New Roman" w:hint="eastAsia"/>
          <w:sz w:val="32"/>
          <w:szCs w:val="32"/>
        </w:rPr>
        <w:t>项，农药残留降低</w:t>
      </w:r>
      <w:r>
        <w:rPr>
          <w:rFonts w:ascii="Times New Roman" w:eastAsia="仿宋_GB2312" w:hAnsi="Times New Roman"/>
          <w:sz w:val="32"/>
          <w:szCs w:val="32"/>
        </w:rPr>
        <w:t>80%</w:t>
      </w:r>
      <w:r>
        <w:rPr>
          <w:rFonts w:ascii="Times New Roman" w:eastAsia="仿宋_GB2312" w:hAnsi="Times New Roman" w:hint="eastAsia"/>
          <w:sz w:val="32"/>
          <w:szCs w:val="32"/>
        </w:rPr>
        <w:t>以上；鉴定优化菌种</w:t>
      </w:r>
      <w:r>
        <w:rPr>
          <w:rFonts w:ascii="Times New Roman" w:eastAsia="仿宋_GB2312" w:hAnsi="Times New Roman"/>
          <w:sz w:val="32"/>
          <w:szCs w:val="32"/>
        </w:rPr>
        <w:t>50</w:t>
      </w:r>
      <w:r>
        <w:rPr>
          <w:rFonts w:ascii="Times New Roman" w:eastAsia="仿宋_GB2312" w:hAnsi="Times New Roman" w:hint="eastAsia"/>
          <w:sz w:val="32"/>
          <w:szCs w:val="32"/>
        </w:rPr>
        <w:t>份，菌剂产品</w:t>
      </w:r>
      <w:r>
        <w:rPr>
          <w:rFonts w:ascii="Times New Roman" w:eastAsia="仿宋_GB2312" w:hAnsi="Times New Roman"/>
          <w:sz w:val="32"/>
          <w:szCs w:val="32"/>
        </w:rPr>
        <w:t>10</w:t>
      </w:r>
      <w:r>
        <w:rPr>
          <w:rFonts w:ascii="Times New Roman" w:eastAsia="仿宋_GB2312" w:hAnsi="Times New Roman" w:hint="eastAsia"/>
          <w:sz w:val="32"/>
          <w:szCs w:val="32"/>
        </w:rPr>
        <w:t>个，微生物肥料及土壤调理剂产品</w:t>
      </w:r>
      <w:r>
        <w:rPr>
          <w:rFonts w:ascii="Times New Roman" w:eastAsia="仿宋_GB2312" w:hAnsi="Times New Roman"/>
          <w:sz w:val="32"/>
          <w:szCs w:val="32"/>
        </w:rPr>
        <w:t>10</w:t>
      </w:r>
      <w:r>
        <w:rPr>
          <w:rFonts w:ascii="Times New Roman" w:eastAsia="仿宋_GB2312" w:hAnsi="Times New Roman" w:hint="eastAsia"/>
          <w:sz w:val="32"/>
          <w:szCs w:val="32"/>
        </w:rPr>
        <w:t>种。生产技术规程</w:t>
      </w:r>
      <w:r>
        <w:rPr>
          <w:rFonts w:ascii="Times New Roman" w:eastAsia="仿宋_GB2312" w:hAnsi="Times New Roman"/>
          <w:sz w:val="32"/>
          <w:szCs w:val="32"/>
        </w:rPr>
        <w:t>3</w:t>
      </w:r>
      <w:r>
        <w:rPr>
          <w:rFonts w:ascii="Times New Roman" w:eastAsia="仿宋_GB2312" w:hAnsi="Times New Roman" w:hint="eastAsia"/>
          <w:sz w:val="32"/>
          <w:szCs w:val="32"/>
        </w:rPr>
        <w:t>项，农业行业标准</w:t>
      </w:r>
      <w:r>
        <w:rPr>
          <w:rFonts w:ascii="Times New Roman" w:eastAsia="仿宋_GB2312" w:hAnsi="Times New Roman"/>
          <w:sz w:val="32"/>
          <w:szCs w:val="32"/>
        </w:rPr>
        <w:t>1</w:t>
      </w:r>
      <w:r>
        <w:rPr>
          <w:rFonts w:ascii="Times New Roman" w:eastAsia="仿宋_GB2312" w:hAnsi="Times New Roman" w:hint="eastAsia"/>
          <w:sz w:val="32"/>
          <w:szCs w:val="32"/>
        </w:rPr>
        <w:t>项。</w:t>
      </w:r>
    </w:p>
    <w:p w:rsidR="000A5F03" w:rsidRDefault="000A5F03">
      <w:pPr>
        <w:spacing w:line="560" w:lineRule="exact"/>
        <w:ind w:firstLineChars="200" w:firstLine="643"/>
        <w:rPr>
          <w:rFonts w:ascii="Times New Roman" w:eastAsia="仿宋_GB2312" w:hAnsi="Times New Roman"/>
          <w:b/>
          <w:bCs/>
          <w:sz w:val="32"/>
          <w:szCs w:val="32"/>
        </w:rPr>
      </w:pPr>
      <w:r>
        <w:rPr>
          <w:rFonts w:ascii="Times New Roman" w:eastAsia="仿宋_GB2312" w:hAnsi="Times New Roman"/>
          <w:b/>
          <w:bCs/>
          <w:sz w:val="32"/>
          <w:szCs w:val="32"/>
        </w:rPr>
        <w:t>9.</w:t>
      </w:r>
      <w:r>
        <w:rPr>
          <w:rFonts w:ascii="Times New Roman" w:eastAsia="仿宋_GB2312" w:hAnsi="Times New Roman" w:hint="eastAsia"/>
          <w:b/>
          <w:bCs/>
          <w:sz w:val="32"/>
          <w:szCs w:val="32"/>
        </w:rPr>
        <w:t>黑龙江省农业遥感关键技术研究与应用</w:t>
      </w:r>
    </w:p>
    <w:p w:rsidR="000A5F03" w:rsidRDefault="000A5F03">
      <w:pPr>
        <w:spacing w:line="560" w:lineRule="exact"/>
        <w:ind w:firstLine="660"/>
        <w:rPr>
          <w:rFonts w:ascii="Times New Roman" w:eastAsia="仿宋_GB2312" w:hAnsi="Times New Roman"/>
          <w:sz w:val="32"/>
          <w:szCs w:val="32"/>
        </w:rPr>
      </w:pPr>
      <w:r>
        <w:rPr>
          <w:rFonts w:ascii="Times New Roman" w:eastAsia="仿宋_GB2312" w:hAnsi="Times New Roman" w:hint="eastAsia"/>
          <w:sz w:val="32"/>
          <w:szCs w:val="32"/>
        </w:rPr>
        <w:t>研究内容：开展黑龙江省主要农作物空间分布及演变规律研究，依靠多源遥感技术，利用中高分辨率卫星影像数据、高分辨率卫星影像数据以及低空无人机遥感数据对黑龙江省农作物进行全覆盖反演，精细提取黑龙江省主要农作物种植的空间分布，并对其轮作演变进行研究，绘制黑龙江省农作物空间分布</w:t>
      </w:r>
      <w:r>
        <w:rPr>
          <w:rFonts w:ascii="Times New Roman" w:eastAsia="仿宋_GB2312" w:hAnsi="Times New Roman"/>
          <w:sz w:val="32"/>
          <w:szCs w:val="32"/>
        </w:rPr>
        <w:t>“</w:t>
      </w:r>
      <w:r>
        <w:rPr>
          <w:rFonts w:ascii="Times New Roman" w:eastAsia="仿宋_GB2312" w:hAnsi="Times New Roman" w:hint="eastAsia"/>
          <w:sz w:val="32"/>
          <w:szCs w:val="32"/>
        </w:rPr>
        <w:t>一张图</w:t>
      </w:r>
      <w:r>
        <w:rPr>
          <w:rFonts w:ascii="Times New Roman" w:eastAsia="仿宋_GB2312" w:hAnsi="Times New Roman"/>
          <w:sz w:val="32"/>
          <w:szCs w:val="32"/>
        </w:rPr>
        <w:t>”</w:t>
      </w:r>
      <w:r>
        <w:rPr>
          <w:rFonts w:ascii="Times New Roman" w:eastAsia="仿宋_GB2312" w:hAnsi="Times New Roman" w:hint="eastAsia"/>
          <w:sz w:val="32"/>
          <w:szCs w:val="32"/>
        </w:rPr>
        <w:t>，构建黑龙江省的</w:t>
      </w:r>
      <w:r>
        <w:rPr>
          <w:rFonts w:ascii="Times New Roman" w:eastAsia="仿宋_GB2312" w:hAnsi="Times New Roman"/>
          <w:sz w:val="32"/>
          <w:szCs w:val="32"/>
        </w:rPr>
        <w:t>CDL(Cropland Data Layer)</w:t>
      </w:r>
      <w:r>
        <w:rPr>
          <w:rFonts w:ascii="Times New Roman" w:eastAsia="仿宋_GB2312" w:hAnsi="Times New Roman" w:hint="eastAsia"/>
          <w:sz w:val="32"/>
          <w:szCs w:val="32"/>
        </w:rPr>
        <w:t>；开展主要农作物关键生育期的长势监测、产量估算及灾情监测技术与应用研究，实现对主要农作作物生长的全程监测，农作物遥感监测反演提取精度达</w:t>
      </w:r>
      <w:r>
        <w:rPr>
          <w:rFonts w:ascii="Times New Roman" w:eastAsia="仿宋_GB2312" w:hAnsi="Times New Roman"/>
          <w:sz w:val="32"/>
          <w:szCs w:val="32"/>
        </w:rPr>
        <w:t>95%</w:t>
      </w:r>
      <w:r>
        <w:rPr>
          <w:rFonts w:ascii="Times New Roman" w:eastAsia="仿宋_GB2312" w:hAnsi="Times New Roman" w:hint="eastAsia"/>
          <w:sz w:val="32"/>
          <w:szCs w:val="32"/>
        </w:rPr>
        <w:t>以上、产量估算精度达</w:t>
      </w:r>
      <w:r>
        <w:rPr>
          <w:rFonts w:ascii="Times New Roman" w:eastAsia="仿宋_GB2312" w:hAnsi="Times New Roman"/>
          <w:sz w:val="32"/>
          <w:szCs w:val="32"/>
        </w:rPr>
        <w:t>90%</w:t>
      </w:r>
      <w:r>
        <w:rPr>
          <w:rFonts w:ascii="Times New Roman" w:eastAsia="仿宋_GB2312" w:hAnsi="Times New Roman" w:hint="eastAsia"/>
          <w:sz w:val="32"/>
          <w:szCs w:val="32"/>
        </w:rPr>
        <w:t>以上；开展农业遥感技术的农业</w:t>
      </w:r>
      <w:r>
        <w:rPr>
          <w:rFonts w:ascii="Times New Roman" w:eastAsia="仿宋_GB2312" w:hAnsi="Times New Roman"/>
          <w:sz w:val="32"/>
          <w:szCs w:val="32"/>
        </w:rPr>
        <w:t>“</w:t>
      </w:r>
      <w:r>
        <w:rPr>
          <w:rFonts w:ascii="Times New Roman" w:eastAsia="仿宋_GB2312" w:hAnsi="Times New Roman" w:hint="eastAsia"/>
          <w:sz w:val="32"/>
          <w:szCs w:val="32"/>
        </w:rPr>
        <w:t>天空地人</w:t>
      </w:r>
      <w:r>
        <w:rPr>
          <w:rFonts w:ascii="Times New Roman" w:eastAsia="仿宋_GB2312" w:hAnsi="Times New Roman"/>
          <w:sz w:val="32"/>
          <w:szCs w:val="32"/>
        </w:rPr>
        <w:t>”</w:t>
      </w:r>
      <w:r>
        <w:rPr>
          <w:rFonts w:ascii="Times New Roman" w:eastAsia="仿宋_GB2312" w:hAnsi="Times New Roman" w:hint="eastAsia"/>
          <w:sz w:val="32"/>
          <w:szCs w:val="32"/>
        </w:rPr>
        <w:t>一体化智慧农业关键技术研究集成，依农情信息遥感监测技术，实现病虫害远程诊断，农机精准作业监测，农业航空导航与作业，农业机器人，车载智能终端，温室环境控制，智能水肥一体化，实施农产品溯源及电商平台建设。</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考核指标：构建黑龙江省主要农作物长势、产量预估及灾情评价系统，集成农情监测、远程诊断、远程控制、灾害预报等技术，形成智能管控农业生产新模式，各农作物单产反演精度</w:t>
      </w:r>
      <w:r>
        <w:rPr>
          <w:rFonts w:ascii="Times New Roman" w:eastAsia="仿宋_GB2312" w:hAnsi="Times New Roman"/>
          <w:sz w:val="32"/>
          <w:szCs w:val="32"/>
        </w:rPr>
        <w:t>90%</w:t>
      </w:r>
      <w:r>
        <w:rPr>
          <w:rFonts w:ascii="Times New Roman" w:eastAsia="仿宋_GB2312" w:hAnsi="Times New Roman" w:hint="eastAsia"/>
          <w:sz w:val="32"/>
          <w:szCs w:val="32"/>
        </w:rPr>
        <w:t>以上，申请专利</w:t>
      </w:r>
      <w:r>
        <w:rPr>
          <w:rFonts w:ascii="Times New Roman" w:eastAsia="仿宋_GB2312" w:hAnsi="Times New Roman"/>
          <w:sz w:val="32"/>
          <w:szCs w:val="32"/>
        </w:rPr>
        <w:t>3-4</w:t>
      </w:r>
      <w:r>
        <w:rPr>
          <w:rFonts w:ascii="Times New Roman" w:eastAsia="仿宋_GB2312" w:hAnsi="Times New Roman" w:hint="eastAsia"/>
          <w:sz w:val="32"/>
          <w:szCs w:val="32"/>
        </w:rPr>
        <w:t>个。建立示范基地</w:t>
      </w:r>
      <w:r>
        <w:rPr>
          <w:rFonts w:ascii="Times New Roman" w:eastAsia="仿宋_GB2312" w:hAnsi="Times New Roman"/>
          <w:sz w:val="32"/>
          <w:szCs w:val="32"/>
        </w:rPr>
        <w:t>1</w:t>
      </w:r>
      <w:r>
        <w:rPr>
          <w:rFonts w:ascii="Times New Roman" w:eastAsia="仿宋_GB2312" w:hAnsi="Times New Roman" w:hint="eastAsia"/>
          <w:sz w:val="32"/>
          <w:szCs w:val="32"/>
        </w:rPr>
        <w:t>个。</w:t>
      </w:r>
    </w:p>
    <w:p w:rsidR="000A5F03" w:rsidRDefault="000A5F03">
      <w:pPr>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b/>
          <w:bCs/>
          <w:sz w:val="32"/>
          <w:szCs w:val="32"/>
        </w:rPr>
        <w:t xml:space="preserve"> 10.</w:t>
      </w:r>
      <w:r>
        <w:rPr>
          <w:rFonts w:ascii="Times New Roman" w:eastAsia="仿宋_GB2312" w:hAnsi="Times New Roman" w:hint="eastAsia"/>
          <w:b/>
          <w:bCs/>
          <w:sz w:val="32"/>
          <w:szCs w:val="32"/>
        </w:rPr>
        <w:t>寒区规模化奶牛场粪污与秸杆综合利用制取生物天然气技术的研究及产业化模式的建立</w:t>
      </w:r>
    </w:p>
    <w:p w:rsidR="000A5F03" w:rsidRDefault="000A5F03">
      <w:pPr>
        <w:widowControl/>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规模化养殖业畜禽粪污处理以及东北地区秸秆综合利用率低的问题，研究农业秸秆调配畜禽粪污的生物质高浓度发酵技术，突破低浓度发酵水耗高和纤维素类废弃物产气效率差的产业瓶颈；研究开发适应高寒地区工程全年稳定运行的低能耗高浓度厌氧发酵技术与装备体系，解决寒冷冬季沼气工程难运行的问题；研究污泥床自取技术；研制沼气提纯净化制生物天然气技术与设备，实现石化天然气的完全替代；建成适应北方寒冷地区规模化养殖业畜禽粪污处理的千万立方级生物质高浓度厌氧发酵示范工程，为规模化养殖业粪污处理和黑龙江省乃至东三省等寒冬地区沼气工程推广提供样板工程。</w:t>
      </w:r>
    </w:p>
    <w:p w:rsidR="000A5F03" w:rsidRDefault="000A5F03">
      <w:pPr>
        <w:widowControl/>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考核指标：建设千万方级高浓度厌氧发酵生物天然气示范工程</w:t>
      </w:r>
      <w:r>
        <w:rPr>
          <w:rFonts w:ascii="Times New Roman" w:eastAsia="仿宋_GB2312" w:hAnsi="Times New Roman"/>
          <w:sz w:val="32"/>
          <w:szCs w:val="32"/>
        </w:rPr>
        <w:t>1</w:t>
      </w:r>
      <w:r>
        <w:rPr>
          <w:rFonts w:ascii="Times New Roman" w:eastAsia="仿宋_GB2312" w:hAnsi="Times New Roman" w:hint="eastAsia"/>
          <w:sz w:val="32"/>
          <w:szCs w:val="32"/>
        </w:rPr>
        <w:t>处，生物质发酵体系浓度不低于</w:t>
      </w:r>
      <w:r>
        <w:rPr>
          <w:rFonts w:ascii="Times New Roman" w:eastAsia="仿宋_GB2312" w:hAnsi="Times New Roman"/>
          <w:sz w:val="32"/>
          <w:szCs w:val="32"/>
        </w:rPr>
        <w:t>10%</w:t>
      </w:r>
      <w:r>
        <w:rPr>
          <w:rFonts w:ascii="Times New Roman" w:eastAsia="仿宋_GB2312" w:hAnsi="Times New Roman" w:hint="eastAsia"/>
          <w:sz w:val="32"/>
          <w:szCs w:val="32"/>
        </w:rPr>
        <w:t>，冬季工程运行热耗</w:t>
      </w:r>
      <w:r>
        <w:rPr>
          <w:rFonts w:ascii="Times New Roman" w:eastAsia="仿宋_GB2312" w:hAnsi="Times New Roman"/>
          <w:sz w:val="32"/>
          <w:szCs w:val="32"/>
        </w:rPr>
        <w:t>/</w:t>
      </w:r>
      <w:r>
        <w:rPr>
          <w:rFonts w:ascii="Times New Roman" w:eastAsia="仿宋_GB2312" w:hAnsi="Times New Roman" w:hint="eastAsia"/>
          <w:sz w:val="32"/>
          <w:szCs w:val="32"/>
        </w:rPr>
        <w:t>能量产出</w:t>
      </w:r>
      <w:r>
        <w:rPr>
          <w:rFonts w:ascii="Times New Roman" w:eastAsia="仿宋_GB2312" w:hAnsi="Times New Roman"/>
          <w:sz w:val="32"/>
          <w:szCs w:val="32"/>
        </w:rPr>
        <w:t>&lt;20%</w:t>
      </w:r>
      <w:r>
        <w:rPr>
          <w:rFonts w:ascii="Times New Roman" w:eastAsia="仿宋_GB2312" w:hAnsi="Times New Roman" w:hint="eastAsia"/>
          <w:sz w:val="32"/>
          <w:szCs w:val="32"/>
        </w:rPr>
        <w:t>，农业秸秆与牛粪混合发酵沼气产率不低于</w:t>
      </w:r>
      <w:r>
        <w:rPr>
          <w:rFonts w:ascii="Times New Roman" w:eastAsia="仿宋_GB2312" w:hAnsi="Times New Roman"/>
          <w:sz w:val="32"/>
          <w:szCs w:val="32"/>
        </w:rPr>
        <w:t>400m3/t</w:t>
      </w:r>
      <w:r>
        <w:rPr>
          <w:rFonts w:ascii="Times New Roman" w:eastAsia="仿宋_GB2312" w:hAnsi="Times New Roman" w:hint="eastAsia"/>
          <w:sz w:val="32"/>
          <w:szCs w:val="32"/>
        </w:rPr>
        <w:t>干物质，生物天然气产品达到石化天然气各级标准，甲烷浓度高于</w:t>
      </w:r>
      <w:r>
        <w:rPr>
          <w:rFonts w:ascii="Times New Roman" w:eastAsia="仿宋_GB2312" w:hAnsi="Times New Roman"/>
          <w:sz w:val="32"/>
          <w:szCs w:val="32"/>
        </w:rPr>
        <w:t>97%</w:t>
      </w:r>
      <w:r>
        <w:rPr>
          <w:rFonts w:ascii="Times New Roman" w:eastAsia="仿宋_GB2312" w:hAnsi="Times New Roman" w:hint="eastAsia"/>
          <w:sz w:val="32"/>
          <w:szCs w:val="32"/>
        </w:rPr>
        <w:t>。构建集寒区优质秸秆综合利用、安全健康养殖、养殖废弃物资源化利用及环境污染控制为一体的具有区域特色的奶牛农牧结合循环养殖模式。</w:t>
      </w:r>
    </w:p>
    <w:p w:rsidR="000A5F03" w:rsidRDefault="000A5F03">
      <w:pPr>
        <w:widowControl/>
        <w:spacing w:line="560" w:lineRule="exact"/>
        <w:ind w:firstLine="630"/>
        <w:rPr>
          <w:rFonts w:ascii="Times New Roman" w:eastAsia="仿宋_GB2312" w:hAnsi="Times New Roman"/>
          <w:sz w:val="32"/>
          <w:szCs w:val="32"/>
        </w:rPr>
      </w:pPr>
      <w:r>
        <w:rPr>
          <w:rFonts w:ascii="Times New Roman" w:eastAsia="仿宋_GB2312" w:hAnsi="Times New Roman"/>
          <w:b/>
          <w:bCs/>
          <w:sz w:val="32"/>
          <w:szCs w:val="32"/>
        </w:rPr>
        <w:t>11.</w:t>
      </w:r>
      <w:r>
        <w:rPr>
          <w:rFonts w:ascii="Times New Roman" w:eastAsia="仿宋_GB2312" w:hAnsi="Times New Roman" w:hint="eastAsia"/>
          <w:b/>
          <w:bCs/>
          <w:sz w:val="32"/>
          <w:szCs w:val="32"/>
        </w:rPr>
        <w:t>民猪产品综合性能提升技术集成与应用</w:t>
      </w:r>
    </w:p>
    <w:p w:rsidR="000A5F03" w:rsidRDefault="000A5F03">
      <w:pPr>
        <w:widowControl/>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研究内容：黑龙江省唯一地方猪种</w:t>
      </w:r>
      <w:r>
        <w:rPr>
          <w:rFonts w:ascii="Times New Roman" w:eastAsia="仿宋_GB2312" w:hAnsi="Times New Roman"/>
          <w:sz w:val="32"/>
          <w:szCs w:val="32"/>
        </w:rPr>
        <w:t>-</w:t>
      </w:r>
      <w:r>
        <w:rPr>
          <w:rFonts w:ascii="Times New Roman" w:eastAsia="仿宋_GB2312" w:hAnsi="Times New Roman" w:hint="eastAsia"/>
          <w:sz w:val="32"/>
          <w:szCs w:val="32"/>
        </w:rPr>
        <w:t>民猪已经成为我省高品质猪肉生产的首选猪种，民猪产品综合性能的提升是保障产业发展、提质增效、贯彻质量兴农战略的重要基础。通过对民猪新品种培育、模式建立、生产力提升、特色饲料研发、提高肉品品质、瘦肉率和胴体精细分割等技术的研发集成，以提升民猪产品综合性能、满足市场对高优猪肉需求、企业节本增效为目的，建立健全民猪资源利用模式、养殖生产规范和产品标准，为民猪产业化发展、建立标准体系提供科技支撑。</w:t>
      </w:r>
    </w:p>
    <w:p w:rsidR="000A5F03" w:rsidRDefault="000A5F03">
      <w:pPr>
        <w:widowControl/>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考核指标：构建民猪养殖模式、杂交模式、生产力提升、特色饲料、提高肉品品质、瘦肉率和胴体精细分割等技术集成体系。应用民猪产品综合性能提升集成技术体系企业</w:t>
      </w:r>
      <w:r>
        <w:rPr>
          <w:rFonts w:ascii="Times New Roman" w:eastAsia="仿宋_GB2312" w:hAnsi="Times New Roman"/>
          <w:sz w:val="32"/>
          <w:szCs w:val="32"/>
        </w:rPr>
        <w:t>1-3</w:t>
      </w:r>
      <w:r>
        <w:rPr>
          <w:rFonts w:ascii="Times New Roman" w:eastAsia="仿宋_GB2312" w:hAnsi="Times New Roman" w:hint="eastAsia"/>
          <w:sz w:val="32"/>
          <w:szCs w:val="32"/>
        </w:rPr>
        <w:t>家；在原有基础上减少出栏时间</w:t>
      </w:r>
      <w:r>
        <w:rPr>
          <w:rFonts w:ascii="Times New Roman" w:eastAsia="仿宋_GB2312" w:hAnsi="Times New Roman"/>
          <w:sz w:val="32"/>
          <w:szCs w:val="32"/>
        </w:rPr>
        <w:t>10</w:t>
      </w:r>
      <w:r>
        <w:rPr>
          <w:rFonts w:ascii="Times New Roman" w:eastAsia="仿宋_GB2312" w:hAnsi="Times New Roman" w:hint="eastAsia"/>
          <w:sz w:val="32"/>
          <w:szCs w:val="32"/>
        </w:rPr>
        <w:t>天以上、瘦肉率提高</w:t>
      </w:r>
      <w:r>
        <w:rPr>
          <w:rFonts w:ascii="Times New Roman" w:eastAsia="仿宋_GB2312" w:hAnsi="Times New Roman"/>
          <w:sz w:val="32"/>
          <w:szCs w:val="32"/>
        </w:rPr>
        <w:t>5%</w:t>
      </w:r>
      <w:r>
        <w:rPr>
          <w:rFonts w:ascii="Times New Roman" w:eastAsia="仿宋_GB2312" w:hAnsi="Times New Roman" w:hint="eastAsia"/>
          <w:sz w:val="32"/>
          <w:szCs w:val="32"/>
        </w:rPr>
        <w:t>以上、肉品肌内脂肪增加</w:t>
      </w:r>
      <w:r>
        <w:rPr>
          <w:rFonts w:ascii="Times New Roman" w:eastAsia="仿宋_GB2312" w:hAnsi="Times New Roman"/>
          <w:sz w:val="32"/>
          <w:szCs w:val="32"/>
        </w:rPr>
        <w:t>0.3%</w:t>
      </w:r>
      <w:r>
        <w:rPr>
          <w:rFonts w:ascii="Times New Roman" w:eastAsia="仿宋_GB2312" w:hAnsi="Times New Roman" w:hint="eastAsia"/>
          <w:sz w:val="32"/>
          <w:szCs w:val="32"/>
        </w:rPr>
        <w:t>以上；年出栏民猪及其杂交猪</w:t>
      </w:r>
      <w:r>
        <w:rPr>
          <w:rFonts w:ascii="Times New Roman" w:eastAsia="仿宋_GB2312" w:hAnsi="Times New Roman"/>
          <w:sz w:val="32"/>
          <w:szCs w:val="32"/>
        </w:rPr>
        <w:t>5</w:t>
      </w:r>
      <w:r>
        <w:rPr>
          <w:rFonts w:ascii="Times New Roman" w:eastAsia="仿宋_GB2312" w:hAnsi="Times New Roman" w:hint="eastAsia"/>
          <w:sz w:val="32"/>
          <w:szCs w:val="32"/>
        </w:rPr>
        <w:t>万头以上。</w:t>
      </w:r>
    </w:p>
    <w:p w:rsidR="000A5F03" w:rsidRDefault="000A5F03">
      <w:pPr>
        <w:spacing w:line="56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b/>
          <w:bCs/>
          <w:sz w:val="32"/>
          <w:szCs w:val="32"/>
        </w:rPr>
        <w:t xml:space="preserve"> 12.</w:t>
      </w:r>
      <w:r>
        <w:rPr>
          <w:rFonts w:ascii="Times New Roman" w:eastAsia="仿宋_GB2312" w:hAnsi="Times New Roman" w:hint="eastAsia"/>
          <w:b/>
          <w:bCs/>
          <w:sz w:val="32"/>
          <w:szCs w:val="32"/>
        </w:rPr>
        <w:t>畜禽重要疫苗研制</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研究内容：猪重要疫病新型疫苗的研制，包括研发猪腹泻病新型疫苗、猪伪狂犬基因缺失疫苗、猪瘟标记疫苗和猪圆环病毒样颗粒疫苗；禽重要疫病新型疫苗的研发，包括研制新城疫、传染性支气管炎二联苗，</w:t>
      </w:r>
      <w:r>
        <w:rPr>
          <w:rFonts w:ascii="Times New Roman" w:eastAsia="仿宋_GB2312" w:hAnsi="Times New Roman"/>
          <w:sz w:val="32"/>
          <w:szCs w:val="32"/>
        </w:rPr>
        <w:t>IBDV</w:t>
      </w:r>
      <w:r>
        <w:rPr>
          <w:rFonts w:ascii="Times New Roman" w:eastAsia="仿宋_GB2312" w:hAnsi="Times New Roman" w:hint="eastAsia"/>
          <w:sz w:val="32"/>
          <w:szCs w:val="32"/>
        </w:rPr>
        <w:t>重组马立克病毒活载体疫苗和</w:t>
      </w:r>
      <w:r>
        <w:rPr>
          <w:rFonts w:ascii="Times New Roman" w:eastAsia="仿宋_GB2312" w:hAnsi="Times New Roman"/>
          <w:sz w:val="32"/>
          <w:szCs w:val="32"/>
        </w:rPr>
        <w:t>IBDV</w:t>
      </w:r>
      <w:r>
        <w:rPr>
          <w:rFonts w:ascii="Times New Roman" w:eastAsia="仿宋_GB2312" w:hAnsi="Times New Roman" w:hint="eastAsia"/>
          <w:sz w:val="32"/>
          <w:szCs w:val="32"/>
        </w:rPr>
        <w:t>重组病毒活疫苗，禽流感重组病毒活载体疫苗的研发。采用克隆技术、基因工程技术等通过对各种疫苗种毒株的培育和构建、疫苗株的免疫原性、安全性、免疫期、保护期、中间试制和临床等一些列试验，上报农业农村部注册，获得新兽药证书。</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考核指标：获得新兽药证书</w:t>
      </w:r>
      <w:r>
        <w:rPr>
          <w:rFonts w:ascii="Times New Roman" w:eastAsia="仿宋_GB2312" w:hAnsi="Times New Roman"/>
          <w:sz w:val="32"/>
          <w:szCs w:val="32"/>
        </w:rPr>
        <w:t>5-8</w:t>
      </w:r>
      <w:r>
        <w:rPr>
          <w:rFonts w:ascii="Times New Roman" w:eastAsia="仿宋_GB2312" w:hAnsi="Times New Roman" w:hint="eastAsia"/>
          <w:sz w:val="32"/>
          <w:szCs w:val="32"/>
        </w:rPr>
        <w:t>个。产品取得证书以后，可向全国各省市养猪养禽业推广应用。</w:t>
      </w:r>
    </w:p>
    <w:p w:rsidR="000A5F03" w:rsidRDefault="000A5F03">
      <w:pPr>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br w:type="page"/>
      </w:r>
    </w:p>
    <w:p w:rsidR="000A5F03" w:rsidRDefault="000A5F03">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三、社会发展领域</w:t>
      </w:r>
    </w:p>
    <w:p w:rsidR="000A5F03" w:rsidRDefault="000A5F03">
      <w:pPr>
        <w:spacing w:line="560" w:lineRule="exact"/>
        <w:ind w:firstLineChars="200" w:firstLine="640"/>
        <w:rPr>
          <w:rFonts w:ascii="Times New Roman" w:eastAsia="仿宋_GB2312" w:hAnsi="Times New Roman"/>
          <w:bCs/>
          <w:color w:val="0D0509"/>
          <w:sz w:val="32"/>
        </w:rPr>
      </w:pPr>
      <w:r>
        <w:rPr>
          <w:rFonts w:ascii="Times New Roman" w:eastAsia="仿宋_GB2312" w:hAnsi="Times New Roman" w:hint="eastAsia"/>
          <w:bCs/>
          <w:color w:val="0D0509"/>
          <w:sz w:val="32"/>
        </w:rPr>
        <w:t>业务咨询：</w:t>
      </w:r>
      <w:r>
        <w:rPr>
          <w:rFonts w:ascii="Times New Roman" w:eastAsia="仿宋_GB2312" w:hAnsi="Times New Roman"/>
          <w:bCs/>
          <w:color w:val="0D0509"/>
          <w:sz w:val="32"/>
        </w:rPr>
        <w:t>0451-82628292</w:t>
      </w:r>
      <w:r>
        <w:rPr>
          <w:rFonts w:ascii="Times New Roman" w:eastAsia="仿宋_GB2312" w:hAnsi="Times New Roman" w:hint="eastAsia"/>
          <w:bCs/>
          <w:color w:val="0D0509"/>
          <w:sz w:val="32"/>
        </w:rPr>
        <w:t>，</w:t>
      </w:r>
      <w:r>
        <w:rPr>
          <w:rFonts w:ascii="Times New Roman" w:eastAsia="仿宋_GB2312" w:hAnsi="Times New Roman"/>
          <w:bCs/>
          <w:color w:val="0D0509"/>
          <w:sz w:val="32"/>
        </w:rPr>
        <w:t>80603925</w:t>
      </w:r>
      <w:r>
        <w:rPr>
          <w:rFonts w:ascii="Times New Roman" w:eastAsia="仿宋_GB2312" w:hAnsi="Times New Roman" w:hint="eastAsia"/>
          <w:bCs/>
          <w:color w:val="0D0509"/>
          <w:sz w:val="32"/>
        </w:rPr>
        <w:t>。</w:t>
      </w:r>
    </w:p>
    <w:p w:rsidR="000A5F03" w:rsidRDefault="000A5F03">
      <w:pPr>
        <w:spacing w:line="560" w:lineRule="exact"/>
        <w:ind w:firstLineChars="221" w:firstLine="710"/>
        <w:outlineLvl w:val="0"/>
        <w:rPr>
          <w:rFonts w:ascii="Times New Roman" w:eastAsia="仿宋_GB2312" w:hAnsi="Times New Roman"/>
          <w:b/>
          <w:sz w:val="32"/>
          <w:szCs w:val="32"/>
        </w:rPr>
      </w:pPr>
      <w:r>
        <w:rPr>
          <w:rFonts w:ascii="Times New Roman" w:eastAsia="仿宋_GB2312" w:hAnsi="Times New Roman"/>
          <w:b/>
          <w:sz w:val="32"/>
          <w:szCs w:val="32"/>
        </w:rPr>
        <w:t>1</w:t>
      </w:r>
      <w:r>
        <w:rPr>
          <w:rFonts w:ascii="Times New Roman" w:eastAsia="仿宋_GB2312" w:hAnsi="Times New Roman"/>
          <w:b/>
          <w:bCs/>
          <w:sz w:val="32"/>
          <w:szCs w:val="32"/>
        </w:rPr>
        <w:t>.</w:t>
      </w:r>
      <w:r>
        <w:rPr>
          <w:rFonts w:ascii="Times New Roman" w:eastAsia="仿宋_GB2312" w:hAnsi="Times New Roman" w:hint="eastAsia"/>
          <w:b/>
          <w:sz w:val="32"/>
          <w:szCs w:val="32"/>
        </w:rPr>
        <w:t>消化系统肿瘤耐药标志物筛选及临床治疗新技术研究</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针对抗肿瘤药物毒性大且多数病人处于经验用药，建立临床抗肿瘤药物敏感筛查模型；针对消化系统肿瘤耐药现象严重，深入挖掘和分析多组学数据，识别潜在的、有临床应用价值的耐药预测标志物，开发肿瘤耐药检测试剂盒，并建立临床耐药监测体系；通过整合耐药模型，开展组学大数据分析和临床验证研究，揭示不同消化系统肿瘤化疗药物与靶向治疗药物发生耐药的机制；在耐药机制研究基础上，在临床开展新药或老药新用或合并用药新方案研究逆转耐药，提出临床治疗新策略。</w:t>
      </w:r>
    </w:p>
    <w:p w:rsidR="000A5F03" w:rsidRDefault="000A5F03">
      <w:pPr>
        <w:spacing w:line="560" w:lineRule="exact"/>
        <w:ind w:firstLineChars="221" w:firstLine="707"/>
        <w:rPr>
          <w:rFonts w:ascii="Times New Roman" w:eastAsia="仿宋_GB2312" w:hAnsi="Times New Roman"/>
          <w:color w:val="000000"/>
          <w:kern w:val="0"/>
          <w:sz w:val="32"/>
          <w:szCs w:val="32"/>
        </w:rPr>
      </w:pPr>
      <w:r>
        <w:rPr>
          <w:rFonts w:ascii="Times New Roman" w:eastAsia="仿宋_GB2312" w:hAnsi="Times New Roman" w:hint="eastAsia"/>
          <w:sz w:val="32"/>
          <w:szCs w:val="32"/>
        </w:rPr>
        <w:t>考核指标：筛选出消化系统肿瘤耐药标志分子并开发耐药检测试剂盒；建立消化系统肿瘤耐药鉴测体系，制定国内行业标准</w:t>
      </w:r>
      <w:r>
        <w:rPr>
          <w:rFonts w:ascii="Times New Roman" w:eastAsia="仿宋_GB2312" w:hAnsi="Times New Roman"/>
          <w:sz w:val="32"/>
          <w:szCs w:val="32"/>
        </w:rPr>
        <w:t>1</w:t>
      </w:r>
      <w:r>
        <w:rPr>
          <w:rFonts w:ascii="Times New Roman" w:eastAsia="仿宋_GB2312" w:hAnsi="Times New Roman" w:hint="eastAsia"/>
          <w:sz w:val="32"/>
          <w:szCs w:val="32"/>
        </w:rPr>
        <w:t>项；建立一整套恶性肿瘤耐药靶点筛选、机制解析与临床转化的应用研究体系；提出多种消化系统肿瘤逆转耐药方案供临床研究应用，制定国内行业指南</w:t>
      </w:r>
      <w:r>
        <w:rPr>
          <w:rFonts w:ascii="Times New Roman" w:eastAsia="仿宋_GB2312" w:hAnsi="Times New Roman"/>
          <w:sz w:val="32"/>
          <w:szCs w:val="32"/>
        </w:rPr>
        <w:t>1-2</w:t>
      </w:r>
      <w:r>
        <w:rPr>
          <w:rFonts w:ascii="Times New Roman" w:eastAsia="仿宋_GB2312" w:hAnsi="Times New Roman" w:hint="eastAsia"/>
          <w:sz w:val="32"/>
          <w:szCs w:val="32"/>
        </w:rPr>
        <w:t>项。</w:t>
      </w:r>
    </w:p>
    <w:p w:rsidR="000A5F03" w:rsidRDefault="000A5F03">
      <w:pPr>
        <w:spacing w:line="560" w:lineRule="exact"/>
        <w:ind w:firstLineChars="221" w:firstLine="710"/>
        <w:rPr>
          <w:rFonts w:ascii="Times New Roman" w:hAnsi="Times New Roman"/>
          <w:b/>
          <w:bCs/>
          <w:sz w:val="24"/>
          <w:szCs w:val="32"/>
        </w:rPr>
      </w:pPr>
      <w:r>
        <w:rPr>
          <w:rFonts w:ascii="Times New Roman" w:eastAsia="仿宋_GB2312" w:hAnsi="Times New Roman"/>
          <w:b/>
          <w:sz w:val="32"/>
          <w:szCs w:val="32"/>
        </w:rPr>
        <w:t>2</w:t>
      </w:r>
      <w:r>
        <w:rPr>
          <w:rFonts w:ascii="Times New Roman" w:eastAsia="仿宋_GB2312" w:hAnsi="Times New Roman"/>
          <w:b/>
          <w:bCs/>
          <w:sz w:val="32"/>
          <w:szCs w:val="32"/>
        </w:rPr>
        <w:t>.</w:t>
      </w:r>
      <w:r>
        <w:rPr>
          <w:rFonts w:ascii="Times New Roman" w:eastAsia="仿宋_GB2312" w:hAnsi="Times New Roman"/>
          <w:b/>
          <w:sz w:val="32"/>
          <w:szCs w:val="32"/>
        </w:rPr>
        <w:t xml:space="preserve"> </w:t>
      </w:r>
      <w:r>
        <w:rPr>
          <w:rFonts w:ascii="Times New Roman" w:eastAsia="仿宋_GB2312" w:hAnsi="Times New Roman" w:hint="eastAsia"/>
          <w:b/>
          <w:sz w:val="32"/>
          <w:szCs w:val="32"/>
        </w:rPr>
        <w:t>膀胱癌的精准靶向诊疗技术研究</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通过分子影像学技术对膀胱癌进行精准靶向诊疗，实现膀胱癌的早期诊断和术中彻底切除；创新对膀胱癌微小肿瘤灶的早期诊断技术；优化在膀胱癌手术过程中对微小病灶和肿瘤边界的识别方法；以临床转化应用为标准对膀胱癌精准靶向诊疗策略进行研发。</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考核指标：获得具有自主知识产权的膀胱癌精准靶向诊疗分子探针</w:t>
      </w:r>
      <w:r>
        <w:rPr>
          <w:rFonts w:ascii="Times New Roman" w:eastAsia="仿宋_GB2312" w:hAnsi="Times New Roman"/>
          <w:sz w:val="32"/>
          <w:szCs w:val="32"/>
        </w:rPr>
        <w:t>1</w:t>
      </w:r>
      <w:r>
        <w:rPr>
          <w:rFonts w:ascii="Times New Roman" w:eastAsia="仿宋_GB2312" w:hAnsi="Times New Roman" w:hint="eastAsia"/>
          <w:sz w:val="32"/>
          <w:szCs w:val="32"/>
        </w:rPr>
        <w:t>种；实现对＜</w:t>
      </w:r>
      <w:r>
        <w:rPr>
          <w:rFonts w:ascii="Times New Roman" w:eastAsia="仿宋_GB2312" w:hAnsi="Times New Roman"/>
          <w:sz w:val="32"/>
          <w:szCs w:val="32"/>
        </w:rPr>
        <w:t>3 mm</w:t>
      </w:r>
      <w:r>
        <w:rPr>
          <w:rFonts w:ascii="Times New Roman" w:eastAsia="仿宋_GB2312" w:hAnsi="Times New Roman" w:hint="eastAsia"/>
          <w:sz w:val="32"/>
          <w:szCs w:val="32"/>
        </w:rPr>
        <w:t>的膀胱癌微小肿瘤灶和手术过程中肿瘤的边界进行精准识别；向临床进行转化应用研究；提出膀胱癌精准靶向诊疗技术规范。</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3.</w:t>
      </w:r>
      <w:r>
        <w:rPr>
          <w:rFonts w:ascii="Times New Roman" w:hAnsi="Times New Roman"/>
        </w:rPr>
        <w:t xml:space="preserve"> </w:t>
      </w:r>
      <w:bookmarkStart w:id="2" w:name="OLE_LINK1"/>
      <w:r>
        <w:rPr>
          <w:rFonts w:ascii="Times New Roman" w:eastAsia="仿宋_GB2312" w:hAnsi="Times New Roman" w:hint="eastAsia"/>
          <w:b/>
          <w:sz w:val="32"/>
          <w:szCs w:val="32"/>
        </w:rPr>
        <w:t>基于大数据的血液净化关键技术研究</w:t>
      </w:r>
      <w:bookmarkEnd w:id="2"/>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利用大数据分析对血液净化领域中的容量控制、慢性肾脏病矿物质骨代谢紊乱、心力衰竭、血管通路预防、诊断及治疗的关键技术进行研究。研究容量评估的客观指标及干预阈值、容量控制的血液净化模式和方案、个体化等钠透析的临床疗效。慢性肾脏病矿物质骨代谢紊乱的机制及治疗对策，骨活检指导下治疗模式的选择，血管钙化的机制及防治技术。心力衰竭早期预警及治疗策略，减少钠负载在防治心力衰竭中的作用及技术方案。血管通路的早期预防及治疗策略，基于组学技术及大数据分析的个体化血管通路建立及并发症处理。</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考核指标：建立血液净化患者及相关设备数据库。制定血液净化关键诊治技术的新标准和新规范。建立基于大数据的容量评估指标及干预阈值，建立容量控制的血液净化治疗新方案，建立临床可行的个体化等钠透析模式。建立血液透析患者骨活检技术方案及诊断标准。提出防治血液净化患者心力衰竭患者治疗的新靶标，建立新的治疗方法。发现对血管通路建立及并发症有重要影响的关键基因。</w:t>
      </w:r>
    </w:p>
    <w:p w:rsidR="000A5F03" w:rsidRDefault="000A5F03">
      <w:pPr>
        <w:spacing w:line="560" w:lineRule="exact"/>
        <w:ind w:firstLineChars="221" w:firstLine="710"/>
        <w:rPr>
          <w:rFonts w:ascii="Times New Roman" w:eastAsia="仿宋_GB2312" w:hAnsi="Times New Roman"/>
          <w:b/>
          <w:sz w:val="32"/>
          <w:szCs w:val="32"/>
        </w:rPr>
      </w:pP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4.</w:t>
      </w:r>
      <w:r>
        <w:rPr>
          <w:rFonts w:ascii="Times New Roman" w:eastAsia="仿宋_GB2312" w:hAnsi="Times New Roman" w:hint="eastAsia"/>
          <w:b/>
          <w:sz w:val="32"/>
          <w:szCs w:val="32"/>
        </w:rPr>
        <w:t>一种安全无创、快速逆转动脉粥样硬化症的新技术研究</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采取声动力与药物结合疗法，通过调控动脉粥样硬化斑块内活性氧产量，快速逆转动脉粥样硬化斑块的新技术；优化声场参数，精准调控动脉硬化斑块内泡沫细胞功能，快速缩小、稳定斑块；开展临床研究，针对冠心病、下肢动脉硬化闭塞症、颈动脉狭窄等相关疾病的治疗研究，从而解决发生心肌梗死、截肢与脑卒中的患病风险。</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考核指标：获得声动力疗法治疗动脉粥样硬化相关理论；通过临床研究证实声动力疗法疗效达到或优于目前国际一线抗动脉粥样硬化治疗效果；建立声动力疗法治疗动脉粥样硬化疾病的诊疗规范。</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5.</w:t>
      </w:r>
      <w:r>
        <w:rPr>
          <w:rFonts w:ascii="Times New Roman" w:eastAsia="仿宋_GB2312" w:hAnsi="Times New Roman" w:hint="eastAsia"/>
          <w:b/>
          <w:sz w:val="32"/>
          <w:szCs w:val="32"/>
        </w:rPr>
        <w:t>可分泌型富血小板凝胶制备及慢性皮肤损伤修复技术研究</w:t>
      </w:r>
    </w:p>
    <w:p w:rsidR="000A5F03" w:rsidRDefault="000A5F03">
      <w:pPr>
        <w:spacing w:line="560" w:lineRule="exact"/>
        <w:ind w:firstLineChars="221" w:firstLine="707"/>
        <w:rPr>
          <w:rFonts w:ascii="Times New Roman" w:eastAsia="仿宋_GB2312" w:hAnsi="Times New Roman"/>
          <w:bCs/>
          <w:sz w:val="32"/>
          <w:szCs w:val="32"/>
        </w:rPr>
      </w:pPr>
      <w:r>
        <w:rPr>
          <w:rFonts w:ascii="Times New Roman" w:eastAsia="仿宋_GB2312" w:hAnsi="Times New Roman" w:hint="eastAsia"/>
          <w:bCs/>
          <w:sz w:val="32"/>
          <w:szCs w:val="32"/>
        </w:rPr>
        <w:t>研究内容：针对糖尿病足、老年性压疮、褥疮或创伤性骨髓炎及烧烫伤等严重炎症性慢性皮肤损伤，研究富含促成纤维细胞扩增、迁移及血管再生因子的可分泌型富血小板凝胶制备方法以及凝胶制品在慢性皮肤创面的再生修复效果；利用血小板激活剂将</w:t>
      </w:r>
      <w:r>
        <w:rPr>
          <w:rFonts w:ascii="Times New Roman" w:eastAsia="仿宋_GB2312" w:hAnsi="Times New Roman"/>
          <w:bCs/>
          <w:sz w:val="32"/>
          <w:szCs w:val="32"/>
        </w:rPr>
        <w:t>α</w:t>
      </w:r>
      <w:r>
        <w:rPr>
          <w:rFonts w:ascii="Times New Roman" w:eastAsia="仿宋_GB2312" w:hAnsi="Times New Roman" w:hint="eastAsia"/>
          <w:bCs/>
          <w:sz w:val="32"/>
          <w:szCs w:val="32"/>
        </w:rPr>
        <w:t>颗粒中存在的生长因子、免疫调节因子和血管形成因子释放出来，结合原代皮肤</w:t>
      </w:r>
      <w:r>
        <w:rPr>
          <w:rFonts w:ascii="Times New Roman" w:eastAsia="仿宋_GB2312" w:hAnsi="Times New Roman"/>
          <w:bCs/>
          <w:sz w:val="32"/>
          <w:szCs w:val="32"/>
        </w:rPr>
        <w:t>MSCs</w:t>
      </w:r>
      <w:r>
        <w:rPr>
          <w:rFonts w:ascii="Times New Roman" w:eastAsia="仿宋_GB2312" w:hAnsi="Times New Roman" w:hint="eastAsia"/>
          <w:bCs/>
          <w:sz w:val="32"/>
          <w:szCs w:val="32"/>
        </w:rPr>
        <w:t>旁分泌作用，开发实现慢性皮肤伤口微血管生成、加速上皮化、促进创面痊愈的制备装备和治疗产品，实现久病不愈伤口的痊愈。</w:t>
      </w:r>
    </w:p>
    <w:p w:rsidR="000A5F03" w:rsidRDefault="000A5F03">
      <w:pPr>
        <w:spacing w:line="560" w:lineRule="exact"/>
        <w:ind w:firstLineChars="221" w:firstLine="707"/>
        <w:rPr>
          <w:rFonts w:ascii="Times New Roman" w:eastAsia="仿宋_GB2312" w:hAnsi="Times New Roman"/>
          <w:color w:val="FF0000"/>
          <w:sz w:val="32"/>
          <w:szCs w:val="32"/>
        </w:rPr>
      </w:pPr>
      <w:r>
        <w:rPr>
          <w:rFonts w:ascii="Times New Roman" w:eastAsia="仿宋_GB2312" w:hAnsi="Times New Roman" w:hint="eastAsia"/>
          <w:bCs/>
          <w:sz w:val="32"/>
          <w:szCs w:val="32"/>
        </w:rPr>
        <w:t>考核指标：突破两项血液富血小板凝胶制备过程关键技术；建立</w:t>
      </w:r>
      <w:r>
        <w:rPr>
          <w:rFonts w:ascii="Times New Roman" w:eastAsia="仿宋_GB2312" w:hAnsi="Times New Roman"/>
          <w:bCs/>
          <w:sz w:val="32"/>
          <w:szCs w:val="32"/>
        </w:rPr>
        <w:t>2-4</w:t>
      </w:r>
      <w:r>
        <w:rPr>
          <w:rFonts w:ascii="Times New Roman" w:eastAsia="仿宋_GB2312" w:hAnsi="Times New Roman" w:hint="eastAsia"/>
          <w:bCs/>
          <w:sz w:val="32"/>
          <w:szCs w:val="32"/>
        </w:rPr>
        <w:t>项符合临床要求的过</w:t>
      </w:r>
      <w:r>
        <w:rPr>
          <w:rFonts w:ascii="Times New Roman" w:eastAsia="仿宋_GB2312" w:hAnsi="Times New Roman" w:hint="eastAsia"/>
          <w:sz w:val="32"/>
          <w:szCs w:val="32"/>
        </w:rPr>
        <w:t>程质量控制和发放标准；开发</w:t>
      </w:r>
      <w:r>
        <w:rPr>
          <w:rFonts w:ascii="Times New Roman" w:eastAsia="仿宋_GB2312" w:hAnsi="Times New Roman"/>
          <w:sz w:val="32"/>
          <w:szCs w:val="32"/>
        </w:rPr>
        <w:t>1</w:t>
      </w:r>
      <w:r>
        <w:rPr>
          <w:rFonts w:ascii="Times New Roman" w:eastAsia="仿宋_GB2312" w:hAnsi="Times New Roman" w:hint="eastAsia"/>
          <w:sz w:val="32"/>
          <w:szCs w:val="32"/>
        </w:rPr>
        <w:t>项含原代皮肤</w:t>
      </w:r>
      <w:r>
        <w:rPr>
          <w:rFonts w:ascii="Times New Roman" w:eastAsia="仿宋_GB2312" w:hAnsi="Times New Roman"/>
          <w:sz w:val="32"/>
          <w:szCs w:val="32"/>
        </w:rPr>
        <w:t>MSCs</w:t>
      </w:r>
      <w:r>
        <w:rPr>
          <w:rFonts w:ascii="Times New Roman" w:eastAsia="仿宋_GB2312" w:hAnsi="Times New Roman" w:hint="eastAsia"/>
          <w:sz w:val="32"/>
          <w:szCs w:val="32"/>
        </w:rPr>
        <w:t>的分泌型富血小板凝胶制备方法；研制一种用于慢性皮肤损伤的分泌型富血小板凝胶制备套装和制剂。</w:t>
      </w:r>
    </w:p>
    <w:p w:rsidR="000A5F03" w:rsidRDefault="000A5F03">
      <w:pPr>
        <w:pStyle w:val="Default"/>
        <w:spacing w:line="560" w:lineRule="exact"/>
        <w:ind w:firstLineChars="221" w:firstLine="710"/>
        <w:jc w:val="both"/>
        <w:rPr>
          <w:rFonts w:eastAsia="仿宋_GB2312"/>
          <w:b/>
          <w:color w:val="auto"/>
          <w:sz w:val="32"/>
          <w:szCs w:val="32"/>
        </w:rPr>
      </w:pPr>
      <w:r>
        <w:rPr>
          <w:rFonts w:eastAsia="仿宋_GB2312"/>
          <w:b/>
          <w:sz w:val="32"/>
          <w:szCs w:val="32"/>
        </w:rPr>
        <w:t>6.</w:t>
      </w:r>
      <w:r>
        <w:rPr>
          <w:rFonts w:eastAsia="仿宋_GB2312"/>
          <w:b/>
          <w:color w:val="auto"/>
          <w:sz w:val="32"/>
          <w:szCs w:val="32"/>
        </w:rPr>
        <w:t xml:space="preserve"> </w:t>
      </w:r>
      <w:r>
        <w:rPr>
          <w:rFonts w:eastAsia="仿宋_GB2312" w:hint="eastAsia"/>
          <w:b/>
          <w:color w:val="auto"/>
          <w:sz w:val="32"/>
          <w:szCs w:val="32"/>
        </w:rPr>
        <w:t>基于大数据的结直肠肿瘤精准治疗研究</w:t>
      </w:r>
    </w:p>
    <w:p w:rsidR="000A5F03" w:rsidRDefault="000A5F03">
      <w:pPr>
        <w:spacing w:line="560" w:lineRule="exact"/>
        <w:ind w:firstLineChars="221" w:firstLine="707"/>
        <w:rPr>
          <w:rFonts w:ascii="Times New Roman" w:eastAsia="仿宋_GB2312" w:hAnsi="Times New Roman"/>
          <w:bCs/>
          <w:sz w:val="32"/>
          <w:szCs w:val="32"/>
        </w:rPr>
      </w:pPr>
      <w:r>
        <w:rPr>
          <w:rFonts w:ascii="Times New Roman" w:eastAsia="仿宋_GB2312" w:hAnsi="Times New Roman" w:hint="eastAsia"/>
          <w:bCs/>
          <w:sz w:val="32"/>
          <w:szCs w:val="32"/>
        </w:rPr>
        <w:t>研究内容：开展结直肠癌高危人群筛查，开发及使用商品化试剂，提高结直肠癌前病变及早期癌症患者的检出率，筛选相关的生物标志物，研制结直肠癌预防、诊断的新标准和精准方案。利用混合现实技术和三维可视化技术打印结直肠癌</w:t>
      </w:r>
      <w:r>
        <w:rPr>
          <w:rFonts w:ascii="Times New Roman" w:eastAsia="仿宋_GB2312" w:hAnsi="Times New Roman"/>
          <w:bCs/>
          <w:sz w:val="32"/>
          <w:szCs w:val="32"/>
        </w:rPr>
        <w:t>3D</w:t>
      </w:r>
      <w:r>
        <w:rPr>
          <w:rFonts w:ascii="Times New Roman" w:eastAsia="仿宋_GB2312" w:hAnsi="Times New Roman" w:hint="eastAsia"/>
          <w:bCs/>
          <w:sz w:val="32"/>
          <w:szCs w:val="32"/>
        </w:rPr>
        <w:t>模型，对患者术前解剖精准定位；探讨大肠癌治疗中的安全性、有效性、微创性。研究组学技术和大数据分析所构建的结直肠癌生物标志物特征图谱，进行大样本队列验证，多中心临床试验，寻找适合国人的个性化防诊治方案。进行精准、个性化多基因检测及药物靶点特征精准给药，研究循环肿瘤细胞（</w:t>
      </w:r>
      <w:r>
        <w:rPr>
          <w:rFonts w:ascii="Times New Roman" w:eastAsia="仿宋_GB2312" w:hAnsi="Times New Roman"/>
          <w:bCs/>
          <w:sz w:val="32"/>
          <w:szCs w:val="32"/>
        </w:rPr>
        <w:t>CTC</w:t>
      </w:r>
      <w:r>
        <w:rPr>
          <w:rFonts w:ascii="Times New Roman" w:eastAsia="仿宋_GB2312" w:hAnsi="Times New Roman" w:hint="eastAsia"/>
          <w:bCs/>
          <w:sz w:val="32"/>
          <w:szCs w:val="32"/>
        </w:rPr>
        <w:t>）在结直肠癌中的应用价值及转化潜力。</w:t>
      </w:r>
    </w:p>
    <w:p w:rsidR="000A5F03" w:rsidRDefault="000A5F03">
      <w:pPr>
        <w:pStyle w:val="Default"/>
        <w:spacing w:line="560" w:lineRule="exact"/>
        <w:ind w:firstLineChars="221" w:firstLine="707"/>
        <w:jc w:val="both"/>
        <w:rPr>
          <w:rFonts w:eastAsia="仿宋_GB2312"/>
          <w:color w:val="auto"/>
          <w:sz w:val="32"/>
          <w:szCs w:val="32"/>
        </w:rPr>
      </w:pPr>
      <w:r>
        <w:rPr>
          <w:rFonts w:eastAsia="仿宋_GB2312" w:hint="eastAsia"/>
          <w:bCs/>
          <w:color w:val="auto"/>
          <w:sz w:val="32"/>
          <w:szCs w:val="32"/>
        </w:rPr>
        <w:t>考核指标：建立区域结直肠癌数据库、开发结直肠癌生物标志物微阵列芯片、研制结直</w:t>
      </w:r>
      <w:r>
        <w:rPr>
          <w:rFonts w:eastAsia="仿宋_GB2312" w:hint="eastAsia"/>
          <w:color w:val="auto"/>
          <w:sz w:val="32"/>
          <w:szCs w:val="32"/>
        </w:rPr>
        <w:t>肠癌精准防诊治方案、制定结直肠癌精准医学诊疗新标准和新规范、制定区域乃至国家级结直肠癌精准诊疗指南。制定</w:t>
      </w:r>
      <w:r>
        <w:rPr>
          <w:rFonts w:eastAsia="仿宋_GB2312"/>
          <w:color w:val="auto"/>
          <w:sz w:val="32"/>
          <w:szCs w:val="32"/>
        </w:rPr>
        <w:t>NOSES</w:t>
      </w:r>
      <w:r>
        <w:rPr>
          <w:rFonts w:eastAsia="仿宋_GB2312" w:hint="eastAsia"/>
          <w:color w:val="auto"/>
          <w:sz w:val="32"/>
          <w:szCs w:val="32"/>
        </w:rPr>
        <w:t>手术应用指南，建立预测结直肠癌分子靶向药物疗效的分子模型，开发用于精准判断直肠癌放化疗敏感性的微阵列芯片，构建早期直肠癌局部切除术后高复发风险的微阵列芯片。制定</w:t>
      </w:r>
      <w:r>
        <w:rPr>
          <w:rFonts w:eastAsia="仿宋_GB2312"/>
          <w:color w:val="auto"/>
          <w:sz w:val="32"/>
          <w:szCs w:val="32"/>
        </w:rPr>
        <w:t>CTC</w:t>
      </w:r>
      <w:r>
        <w:rPr>
          <w:rFonts w:eastAsia="仿宋_GB2312" w:hint="eastAsia"/>
          <w:color w:val="auto"/>
          <w:sz w:val="32"/>
          <w:szCs w:val="32"/>
        </w:rPr>
        <w:t>在结直肠癌中的应用指南。</w:t>
      </w:r>
    </w:p>
    <w:p w:rsidR="000A5F03" w:rsidRDefault="000A5F03">
      <w:pPr>
        <w:spacing w:line="560" w:lineRule="exact"/>
        <w:ind w:firstLineChars="221" w:firstLine="710"/>
        <w:rPr>
          <w:rFonts w:ascii="仿宋_GB2312" w:eastAsia="仿宋_GB2312" w:hAnsi="仿宋_GB2312" w:cs="仿宋_GB2312"/>
          <w:b/>
          <w:color w:val="000000"/>
          <w:kern w:val="0"/>
          <w:sz w:val="32"/>
          <w:szCs w:val="32"/>
        </w:rPr>
      </w:pPr>
      <w:r>
        <w:rPr>
          <w:rFonts w:ascii="仿宋_GB2312" w:eastAsia="仿宋_GB2312" w:hAnsi="仿宋_GB2312" w:cs="仿宋_GB2312"/>
          <w:b/>
          <w:sz w:val="32"/>
          <w:szCs w:val="32"/>
        </w:rPr>
        <w:t>7.</w:t>
      </w:r>
      <w:r>
        <w:rPr>
          <w:rFonts w:ascii="仿宋_GB2312" w:eastAsia="仿宋_GB2312" w:hAnsi="仿宋_GB2312" w:cs="仿宋_GB2312" w:hint="eastAsia"/>
          <w:b/>
          <w:color w:val="000000"/>
          <w:kern w:val="0"/>
          <w:sz w:val="32"/>
          <w:szCs w:val="32"/>
        </w:rPr>
        <w:t>黑龙江特色食药物质食用安全性评价及标准制定研究</w:t>
      </w:r>
    </w:p>
    <w:p w:rsidR="000A5F03" w:rsidRDefault="000A5F03">
      <w:pPr>
        <w:spacing w:line="560" w:lineRule="exact"/>
        <w:ind w:firstLineChars="221" w:firstLine="707"/>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研究内容：针对金莲花、五味子、草苁蓉、林蛙油等我省特色中药材，进行成分分析及毒理学、卫生学检验等食用安全性试验，申请列入国家既食既药目录，打通北药特色资源向食品产业化开发的政策瓶颈。针对我省林蛙干制品、蓝靛果、桦褐孔菌等地方特色食药物质开展食用安全性评价试验，制定食品安全地方标准，推动我省特色食品产业发展壮大。对花青素、芦苇地上部分等创新研发的物质，开展新食品原料食用安全性评价试验，并向国家卫生健康委报批。</w:t>
      </w:r>
    </w:p>
    <w:p w:rsidR="000A5F03" w:rsidRDefault="000A5F03">
      <w:pPr>
        <w:pStyle w:val="Default"/>
        <w:spacing w:line="560" w:lineRule="exact"/>
        <w:ind w:firstLineChars="200" w:firstLine="640"/>
        <w:jc w:val="both"/>
        <w:rPr>
          <w:rFonts w:eastAsia="仿宋_GB2312"/>
          <w:b/>
          <w:sz w:val="32"/>
          <w:szCs w:val="32"/>
        </w:rPr>
      </w:pPr>
      <w:r>
        <w:rPr>
          <w:rFonts w:eastAsia="仿宋_GB2312" w:hint="eastAsia"/>
          <w:sz w:val="32"/>
          <w:szCs w:val="32"/>
        </w:rPr>
        <w:t>考核指标：将金莲花、五味子、草苁蓉、林蛙油申请列入国家药食同源目录；制定并发布林蛙干制品、蓝靛果、桦褐孔菌的黑龙江省食品安全地方标准。申报国家新食品原料。</w:t>
      </w:r>
    </w:p>
    <w:p w:rsidR="000A5F03" w:rsidRDefault="000A5F03">
      <w:pPr>
        <w:pStyle w:val="Default"/>
        <w:spacing w:line="560" w:lineRule="exact"/>
        <w:ind w:firstLineChars="246" w:firstLine="790"/>
        <w:rPr>
          <w:rFonts w:eastAsia="仿宋_GB2312"/>
          <w:b/>
          <w:color w:val="auto"/>
          <w:sz w:val="32"/>
          <w:szCs w:val="32"/>
        </w:rPr>
      </w:pPr>
      <w:r>
        <w:rPr>
          <w:rFonts w:eastAsia="仿宋_GB2312"/>
          <w:b/>
          <w:sz w:val="32"/>
          <w:szCs w:val="32"/>
        </w:rPr>
        <w:t>8.</w:t>
      </w:r>
      <w:r>
        <w:rPr>
          <w:rFonts w:eastAsia="仿宋_GB2312" w:hint="eastAsia"/>
          <w:b/>
          <w:color w:val="auto"/>
          <w:sz w:val="32"/>
          <w:szCs w:val="32"/>
        </w:rPr>
        <w:t>参豉系列保健食品研制</w:t>
      </w:r>
    </w:p>
    <w:p w:rsidR="000A5F03" w:rsidRDefault="000A5F03">
      <w:pPr>
        <w:pStyle w:val="Default"/>
        <w:spacing w:line="560" w:lineRule="exact"/>
        <w:ind w:firstLineChars="221" w:firstLine="707"/>
        <w:rPr>
          <w:rFonts w:eastAsia="仿宋_GB2312"/>
          <w:bCs/>
          <w:color w:val="auto"/>
          <w:sz w:val="32"/>
          <w:szCs w:val="32"/>
        </w:rPr>
      </w:pPr>
      <w:r>
        <w:rPr>
          <w:rFonts w:eastAsia="仿宋_GB2312" w:hint="eastAsia"/>
          <w:bCs/>
          <w:color w:val="auto"/>
          <w:sz w:val="32"/>
          <w:szCs w:val="32"/>
        </w:rPr>
        <w:t>研究内容：开展发酵前后人参皂苷体外生物转化及其体内生物利用度研究。针对更年期综合症、高血糖人群，开展参豉人体试食临床研究。进行参豉牛轧糖、山楂丸、复合颗粒、固体饮料、果脯、蜜饯等</w:t>
      </w:r>
      <w:r>
        <w:rPr>
          <w:rFonts w:eastAsia="仿宋_GB2312"/>
          <w:bCs/>
          <w:color w:val="auto"/>
          <w:sz w:val="32"/>
          <w:szCs w:val="32"/>
        </w:rPr>
        <w:t>6</w:t>
      </w:r>
      <w:r>
        <w:rPr>
          <w:rFonts w:eastAsia="仿宋_GB2312" w:hint="eastAsia"/>
          <w:bCs/>
          <w:color w:val="auto"/>
          <w:sz w:val="32"/>
          <w:szCs w:val="32"/>
        </w:rPr>
        <w:t>个保健食品制备工艺及质量标准制定。</w:t>
      </w:r>
    </w:p>
    <w:p w:rsidR="000A5F03" w:rsidRDefault="000A5F03">
      <w:pPr>
        <w:pStyle w:val="Default"/>
        <w:spacing w:line="560" w:lineRule="exact"/>
        <w:ind w:firstLineChars="221" w:firstLine="707"/>
        <w:rPr>
          <w:rFonts w:eastAsia="仿宋_GB2312"/>
          <w:color w:val="auto"/>
          <w:sz w:val="32"/>
          <w:szCs w:val="32"/>
        </w:rPr>
      </w:pPr>
      <w:r>
        <w:rPr>
          <w:rFonts w:eastAsia="仿宋_GB2312" w:hint="eastAsia"/>
          <w:bCs/>
          <w:color w:val="auto"/>
          <w:sz w:val="32"/>
          <w:szCs w:val="32"/>
        </w:rPr>
        <w:t>考核指标：</w:t>
      </w:r>
      <w:r>
        <w:rPr>
          <w:rFonts w:eastAsia="仿宋_GB2312" w:hint="eastAsia"/>
          <w:color w:val="auto"/>
          <w:sz w:val="32"/>
          <w:szCs w:val="32"/>
        </w:rPr>
        <w:t>开发参豉系列保健食品</w:t>
      </w:r>
      <w:r>
        <w:rPr>
          <w:rFonts w:eastAsia="仿宋_GB2312"/>
          <w:color w:val="auto"/>
          <w:sz w:val="32"/>
          <w:szCs w:val="32"/>
        </w:rPr>
        <w:t>10-20</w:t>
      </w:r>
      <w:r>
        <w:rPr>
          <w:rFonts w:eastAsia="仿宋_GB2312" w:hint="eastAsia"/>
          <w:color w:val="auto"/>
          <w:sz w:val="32"/>
          <w:szCs w:val="32"/>
        </w:rPr>
        <w:t>个，获得生产批号；建立发酵食品产业化技术体系，实现参豉系列保健食品中试生产；完成</w:t>
      </w:r>
      <w:r>
        <w:rPr>
          <w:rFonts w:eastAsia="仿宋_GB2312"/>
          <w:color w:val="auto"/>
          <w:sz w:val="32"/>
          <w:szCs w:val="32"/>
        </w:rPr>
        <w:t>100-200</w:t>
      </w:r>
      <w:r>
        <w:rPr>
          <w:rFonts w:eastAsia="仿宋_GB2312" w:hint="eastAsia"/>
          <w:color w:val="auto"/>
          <w:sz w:val="32"/>
          <w:szCs w:val="32"/>
        </w:rPr>
        <w:t>例人体试食临床研究。</w:t>
      </w:r>
    </w:p>
    <w:p w:rsidR="000A5F03" w:rsidRDefault="000A5F03">
      <w:pPr>
        <w:pStyle w:val="Default"/>
        <w:spacing w:line="560" w:lineRule="exact"/>
        <w:ind w:firstLineChars="246" w:firstLine="790"/>
        <w:jc w:val="both"/>
        <w:rPr>
          <w:rFonts w:eastAsia="仿宋_GB2312"/>
          <w:b/>
          <w:color w:val="auto"/>
          <w:sz w:val="32"/>
          <w:szCs w:val="32"/>
        </w:rPr>
      </w:pPr>
      <w:r>
        <w:rPr>
          <w:rFonts w:eastAsia="仿宋_GB2312"/>
          <w:b/>
          <w:color w:val="auto"/>
          <w:kern w:val="2"/>
          <w:sz w:val="32"/>
          <w:szCs w:val="32"/>
        </w:rPr>
        <w:t>9.</w:t>
      </w:r>
      <w:r>
        <w:rPr>
          <w:rFonts w:eastAsia="仿宋_GB2312" w:hint="eastAsia"/>
          <w:b/>
          <w:color w:val="auto"/>
          <w:kern w:val="2"/>
          <w:sz w:val="32"/>
          <w:szCs w:val="32"/>
        </w:rPr>
        <w:t>黑龙江省碳汇经营关键技术研究与示范</w:t>
      </w:r>
    </w:p>
    <w:p w:rsidR="000A5F03" w:rsidRDefault="000A5F03">
      <w:pPr>
        <w:pStyle w:val="Default"/>
        <w:spacing w:line="560" w:lineRule="exact"/>
        <w:ind w:firstLineChars="221" w:firstLine="707"/>
        <w:jc w:val="both"/>
        <w:rPr>
          <w:rFonts w:eastAsia="仿宋_GB2312"/>
          <w:sz w:val="32"/>
          <w:szCs w:val="32"/>
        </w:rPr>
      </w:pPr>
      <w:r>
        <w:rPr>
          <w:rFonts w:eastAsia="仿宋_GB2312" w:hint="eastAsia"/>
          <w:bCs/>
          <w:sz w:val="32"/>
          <w:szCs w:val="32"/>
        </w:rPr>
        <w:t>研究内容：</w:t>
      </w:r>
      <w:r>
        <w:rPr>
          <w:rFonts w:eastAsia="仿宋_GB2312" w:hint="eastAsia"/>
          <w:bCs/>
          <w:color w:val="auto"/>
          <w:kern w:val="2"/>
          <w:sz w:val="32"/>
          <w:szCs w:val="32"/>
        </w:rPr>
        <w:t>重点研究黑龙江省森林、草原与湿地的固碳增汇功能、空间分布格局及其动态变化规律；森林、草原与湿地的碳汇计量；森林、草原与</w:t>
      </w:r>
      <w:r>
        <w:rPr>
          <w:rFonts w:eastAsia="仿宋_GB2312" w:hint="eastAsia"/>
          <w:color w:val="auto"/>
          <w:kern w:val="2"/>
          <w:sz w:val="32"/>
          <w:szCs w:val="32"/>
        </w:rPr>
        <w:t>湿地的固碳增汇关键技术；森林、草原与湿地的碳汇生态功能评价；碳汇综合管理体系研究与示范，提出黑龙江省森林、草原与湿地碳汇结构与功能优化调控经营配套技术与模式，并建立碳汇优化经营试验示范区。</w:t>
      </w:r>
    </w:p>
    <w:p w:rsidR="000A5F03" w:rsidRDefault="000A5F03">
      <w:pPr>
        <w:widowControl/>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kern w:val="0"/>
          <w:sz w:val="32"/>
          <w:szCs w:val="32"/>
        </w:rPr>
        <w:t>考核指标：</w:t>
      </w:r>
      <w:r>
        <w:rPr>
          <w:rFonts w:ascii="Times New Roman" w:eastAsia="仿宋_GB2312" w:hAnsi="Times New Roman" w:hint="eastAsia"/>
          <w:sz w:val="32"/>
          <w:szCs w:val="32"/>
        </w:rPr>
        <w:t>突破碳汇精准计量、碳增汇时空动态预测、碳汇潜力有效评估等关键技术</w:t>
      </w:r>
      <w:r>
        <w:rPr>
          <w:rFonts w:ascii="Times New Roman" w:eastAsia="仿宋_GB2312" w:hAnsi="Times New Roman"/>
          <w:sz w:val="32"/>
          <w:szCs w:val="32"/>
        </w:rPr>
        <w:t>3-5</w:t>
      </w:r>
      <w:r>
        <w:rPr>
          <w:rFonts w:ascii="Times New Roman" w:eastAsia="仿宋_GB2312" w:hAnsi="Times New Roman" w:hint="eastAsia"/>
          <w:sz w:val="32"/>
          <w:szCs w:val="32"/>
        </w:rPr>
        <w:t>项；构建森林、草原及湿地碳汇计量模型及碳增汇模型系统各</w:t>
      </w:r>
      <w:r>
        <w:rPr>
          <w:rFonts w:ascii="Times New Roman" w:eastAsia="仿宋_GB2312" w:hAnsi="Times New Roman"/>
          <w:sz w:val="32"/>
          <w:szCs w:val="32"/>
        </w:rPr>
        <w:t>1</w:t>
      </w:r>
      <w:r>
        <w:rPr>
          <w:rFonts w:ascii="Times New Roman" w:eastAsia="仿宋_GB2312" w:hAnsi="Times New Roman" w:hint="eastAsia"/>
          <w:sz w:val="32"/>
          <w:szCs w:val="32"/>
        </w:rPr>
        <w:t>套：提出森林、草原及湿地碳汇经营技术体系各</w:t>
      </w:r>
      <w:r>
        <w:rPr>
          <w:rFonts w:ascii="Times New Roman" w:eastAsia="仿宋_GB2312" w:hAnsi="Times New Roman"/>
          <w:sz w:val="32"/>
          <w:szCs w:val="32"/>
        </w:rPr>
        <w:t>1</w:t>
      </w:r>
      <w:r>
        <w:rPr>
          <w:rFonts w:ascii="Times New Roman" w:eastAsia="仿宋_GB2312" w:hAnsi="Times New Roman" w:hint="eastAsia"/>
          <w:sz w:val="32"/>
          <w:szCs w:val="32"/>
        </w:rPr>
        <w:t>套</w:t>
      </w:r>
      <w:r>
        <w:rPr>
          <w:rFonts w:ascii="Times New Roman" w:eastAsia="仿宋_GB2312" w:hAnsi="Times New Roman"/>
          <w:sz w:val="32"/>
          <w:szCs w:val="32"/>
        </w:rPr>
        <w:t>,</w:t>
      </w:r>
      <w:r>
        <w:rPr>
          <w:rFonts w:ascii="Times New Roman" w:eastAsia="仿宋_GB2312" w:hAnsi="Times New Roman" w:hint="eastAsia"/>
          <w:sz w:val="32"/>
          <w:szCs w:val="32"/>
        </w:rPr>
        <w:t>森林、草原及湿地碳增汇达到</w:t>
      </w:r>
      <w:r>
        <w:rPr>
          <w:rFonts w:ascii="Times New Roman" w:eastAsia="仿宋_GB2312" w:hAnsi="Times New Roman"/>
          <w:sz w:val="32"/>
          <w:szCs w:val="32"/>
        </w:rPr>
        <w:t>5%-10%</w:t>
      </w:r>
      <w:r>
        <w:rPr>
          <w:rFonts w:ascii="Times New Roman" w:eastAsia="仿宋_GB2312" w:hAnsi="Times New Roman" w:hint="eastAsia"/>
          <w:sz w:val="32"/>
          <w:szCs w:val="32"/>
        </w:rPr>
        <w:t>。</w:t>
      </w:r>
    </w:p>
    <w:p w:rsidR="000A5F03" w:rsidRDefault="000A5F03">
      <w:pPr>
        <w:spacing w:line="560" w:lineRule="exact"/>
        <w:ind w:firstLineChars="221" w:firstLine="710"/>
        <w:rPr>
          <w:rFonts w:ascii="Times New Roman" w:eastAsia="仿宋_GB2312" w:hAnsi="Times New Roman"/>
          <w:b/>
          <w:color w:val="FF0000"/>
          <w:sz w:val="32"/>
          <w:szCs w:val="32"/>
        </w:rPr>
      </w:pPr>
      <w:r>
        <w:rPr>
          <w:rFonts w:ascii="Times New Roman" w:eastAsia="仿宋_GB2312" w:hAnsi="Times New Roman"/>
          <w:b/>
          <w:sz w:val="32"/>
          <w:szCs w:val="32"/>
        </w:rPr>
        <w:t>10.</w:t>
      </w:r>
      <w:r>
        <w:rPr>
          <w:rFonts w:ascii="Times New Roman" w:eastAsia="仿宋_GB2312" w:hAnsi="Times New Roman" w:hint="eastAsia"/>
          <w:b/>
          <w:sz w:val="32"/>
          <w:szCs w:val="32"/>
        </w:rPr>
        <w:t>一体化滑雪板关键工艺技术的研究</w:t>
      </w:r>
    </w:p>
    <w:p w:rsidR="000A5F03" w:rsidRDefault="000A5F03">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研究内容：研究滑雪板单板、双板夹心结构设计及生产工艺，板芯改性技术，钢边刃一体化成型技术，耐磨</w:t>
      </w:r>
      <w:r>
        <w:rPr>
          <w:rFonts w:ascii="Times New Roman" w:eastAsia="仿宋_GB2312" w:hAnsi="Times New Roman"/>
          <w:bCs/>
          <w:sz w:val="32"/>
          <w:szCs w:val="32"/>
        </w:rPr>
        <w:t>PA</w:t>
      </w:r>
      <w:r>
        <w:rPr>
          <w:rFonts w:ascii="Times New Roman" w:eastAsia="仿宋_GB2312" w:hAnsi="Times New Roman" w:hint="eastAsia"/>
          <w:bCs/>
          <w:sz w:val="32"/>
          <w:szCs w:val="32"/>
        </w:rPr>
        <w:t>材料研究等四项关键技术；开发滑雪板单板、双板各一套，雪板钢边刃一体化成型设备，进行试验考核，加快国际先进夹心结构滑雪板的国产化步伐。</w:t>
      </w:r>
    </w:p>
    <w:p w:rsidR="000A5F03" w:rsidRDefault="000A5F03">
      <w:pPr>
        <w:spacing w:line="560" w:lineRule="exact"/>
        <w:ind w:firstLineChars="196" w:firstLine="627"/>
        <w:rPr>
          <w:rFonts w:ascii="Times New Roman" w:eastAsia="仿宋_GB2312" w:hAnsi="Times New Roman"/>
          <w:sz w:val="32"/>
          <w:szCs w:val="32"/>
        </w:rPr>
      </w:pPr>
      <w:r>
        <w:rPr>
          <w:rFonts w:ascii="Times New Roman" w:eastAsia="仿宋_GB2312" w:hAnsi="Times New Roman" w:hint="eastAsia"/>
          <w:bCs/>
          <w:sz w:val="32"/>
          <w:szCs w:val="32"/>
        </w:rPr>
        <w:t>考核指标：突破夹心结构滑雪板单、双板设计及生产工艺等关键技术</w:t>
      </w:r>
      <w:r>
        <w:rPr>
          <w:rFonts w:ascii="Times New Roman" w:eastAsia="仿宋_GB2312" w:hAnsi="Times New Roman"/>
          <w:bCs/>
          <w:sz w:val="32"/>
          <w:szCs w:val="32"/>
        </w:rPr>
        <w:t>4</w:t>
      </w:r>
      <w:r>
        <w:rPr>
          <w:rFonts w:ascii="Times New Roman" w:eastAsia="仿宋_GB2312" w:hAnsi="Times New Roman" w:hint="eastAsia"/>
          <w:bCs/>
          <w:sz w:val="32"/>
          <w:szCs w:val="32"/>
        </w:rPr>
        <w:t>项以上；开发</w:t>
      </w:r>
      <w:r>
        <w:rPr>
          <w:rFonts w:ascii="Times New Roman" w:eastAsia="仿宋_GB2312" w:hAnsi="Times New Roman" w:hint="eastAsia"/>
          <w:sz w:val="32"/>
          <w:szCs w:val="32"/>
        </w:rPr>
        <w:t>滑雪板单、双板生产工艺各一套，提升国产化率</w:t>
      </w:r>
      <w:r>
        <w:rPr>
          <w:rFonts w:ascii="Times New Roman" w:eastAsia="仿宋_GB2312" w:hAnsi="Times New Roman"/>
          <w:sz w:val="32"/>
          <w:szCs w:val="32"/>
        </w:rPr>
        <w:t>80%</w:t>
      </w:r>
      <w:r>
        <w:rPr>
          <w:rFonts w:ascii="Times New Roman" w:eastAsia="仿宋_GB2312" w:hAnsi="Times New Roman" w:hint="eastAsia"/>
          <w:sz w:val="32"/>
          <w:szCs w:val="32"/>
        </w:rPr>
        <w:t>以上；滑雪板满足《弹性测试</w:t>
      </w:r>
      <w:r>
        <w:rPr>
          <w:rFonts w:ascii="Times New Roman" w:eastAsia="仿宋_GB2312" w:hAnsi="Times New Roman"/>
          <w:sz w:val="32"/>
          <w:szCs w:val="32"/>
        </w:rPr>
        <w:t>ISO 5902-2013</w:t>
      </w:r>
      <w:r>
        <w:rPr>
          <w:rFonts w:ascii="Times New Roman" w:eastAsia="仿宋_GB2312" w:hAnsi="Times New Roman" w:hint="eastAsia"/>
          <w:sz w:val="32"/>
          <w:szCs w:val="32"/>
        </w:rPr>
        <w:t>》、《循环载荷测试</w:t>
      </w:r>
      <w:r>
        <w:rPr>
          <w:rFonts w:ascii="Times New Roman" w:eastAsia="仿宋_GB2312" w:hAnsi="Times New Roman"/>
          <w:sz w:val="32"/>
          <w:szCs w:val="32"/>
        </w:rPr>
        <w:t>ISO 6266-2013</w:t>
      </w:r>
      <w:r>
        <w:rPr>
          <w:rFonts w:ascii="Times New Roman" w:eastAsia="仿宋_GB2312" w:hAnsi="Times New Roman" w:hint="eastAsia"/>
          <w:sz w:val="32"/>
          <w:szCs w:val="32"/>
        </w:rPr>
        <w:t>》、《形变和断裂测试</w:t>
      </w:r>
      <w:r>
        <w:rPr>
          <w:rFonts w:ascii="Times New Roman" w:eastAsia="仿宋_GB2312" w:hAnsi="Times New Roman"/>
          <w:sz w:val="32"/>
          <w:szCs w:val="32"/>
        </w:rPr>
        <w:t>ISO 6265-2013</w:t>
      </w:r>
      <w:r>
        <w:rPr>
          <w:rFonts w:ascii="Times New Roman" w:eastAsia="仿宋_GB2312" w:hAnsi="Times New Roman" w:hint="eastAsia"/>
          <w:sz w:val="32"/>
          <w:szCs w:val="32"/>
        </w:rPr>
        <w:t>》测试要求，断裂强度不低于</w:t>
      </w:r>
      <w:r>
        <w:rPr>
          <w:rFonts w:ascii="Times New Roman" w:eastAsia="仿宋_GB2312" w:hAnsi="Times New Roman"/>
          <w:sz w:val="32"/>
          <w:szCs w:val="32"/>
        </w:rPr>
        <w:t>4000N</w:t>
      </w:r>
      <w:r>
        <w:rPr>
          <w:rFonts w:ascii="Times New Roman" w:eastAsia="仿宋_GB2312" w:hAnsi="Times New Roman" w:hint="eastAsia"/>
          <w:sz w:val="32"/>
          <w:szCs w:val="32"/>
        </w:rPr>
        <w:t>、疲劳测试</w:t>
      </w:r>
      <w:r>
        <w:rPr>
          <w:rFonts w:ascii="Times New Roman" w:eastAsia="仿宋_GB2312" w:hAnsi="Times New Roman"/>
          <w:sz w:val="32"/>
          <w:szCs w:val="32"/>
        </w:rPr>
        <w:t>10000</w:t>
      </w:r>
      <w:r>
        <w:rPr>
          <w:rFonts w:ascii="Times New Roman" w:eastAsia="仿宋_GB2312" w:hAnsi="Times New Roman" w:hint="eastAsia"/>
          <w:sz w:val="32"/>
          <w:szCs w:val="32"/>
        </w:rPr>
        <w:t>次形变量低于</w:t>
      </w:r>
      <w:r>
        <w:rPr>
          <w:rFonts w:ascii="Times New Roman" w:eastAsia="仿宋_GB2312" w:hAnsi="Times New Roman"/>
          <w:sz w:val="32"/>
          <w:szCs w:val="32"/>
        </w:rPr>
        <w:t>0.1mm</w:t>
      </w:r>
      <w:r>
        <w:rPr>
          <w:rFonts w:ascii="Times New Roman" w:eastAsia="仿宋_GB2312" w:hAnsi="Times New Roman" w:hint="eastAsia"/>
          <w:sz w:val="32"/>
          <w:szCs w:val="32"/>
        </w:rPr>
        <w:t>；研制雪板钢边刃成型设备一套。</w:t>
      </w:r>
    </w:p>
    <w:p w:rsidR="000A5F03" w:rsidRDefault="000A5F03">
      <w:pPr>
        <w:pStyle w:val="ListParagraph"/>
        <w:spacing w:line="560" w:lineRule="exact"/>
        <w:ind w:firstLineChars="220" w:firstLine="707"/>
        <w:rPr>
          <w:rFonts w:ascii="Times New Roman" w:eastAsia="仿宋_GB2312" w:hAnsi="Times New Roman"/>
          <w:b/>
          <w:sz w:val="32"/>
          <w:szCs w:val="32"/>
        </w:rPr>
      </w:pPr>
      <w:r>
        <w:rPr>
          <w:rFonts w:ascii="Times New Roman" w:eastAsia="仿宋_GB2312" w:hAnsi="Times New Roman"/>
          <w:b/>
          <w:sz w:val="32"/>
          <w:szCs w:val="32"/>
        </w:rPr>
        <w:t>11.</w:t>
      </w:r>
      <w:r>
        <w:rPr>
          <w:rFonts w:ascii="Times New Roman" w:eastAsia="仿宋_GB2312" w:hAnsi="Times New Roman" w:hint="eastAsia"/>
          <w:b/>
          <w:sz w:val="32"/>
          <w:szCs w:val="32"/>
        </w:rPr>
        <w:t>高寒环境下核安保放射性物质检测系统</w:t>
      </w:r>
    </w:p>
    <w:p w:rsidR="000A5F03" w:rsidRDefault="000A5F03">
      <w:pPr>
        <w:spacing w:line="560" w:lineRule="exact"/>
        <w:ind w:firstLineChars="221" w:firstLine="707"/>
        <w:rPr>
          <w:rFonts w:ascii="Times New Roman" w:eastAsia="仿宋_GB2312" w:hAnsi="Times New Roman"/>
          <w:bCs/>
          <w:sz w:val="32"/>
          <w:szCs w:val="32"/>
        </w:rPr>
      </w:pPr>
      <w:r>
        <w:rPr>
          <w:rFonts w:ascii="Times New Roman" w:eastAsia="仿宋_GB2312" w:hAnsi="Times New Roman" w:hint="eastAsia"/>
          <w:bCs/>
          <w:sz w:val="32"/>
          <w:szCs w:val="32"/>
        </w:rPr>
        <w:t>研究内容：针对日益严峻的核反恐安保领域，存在的高寒环境下放射性物质检测响应时间长、灵敏度低及自动化程度不高的现状，建立高寒环境下核安保可移动式通道及固定式通道放射性物质检测系统，实现对高寒地区的核反恐安保放射性物质实时在线监测；研发高寒环境弱放射性物质快速响应探测装置，开发探测装置与供电一体化的模块式结构设计，建立</w:t>
      </w:r>
      <w:r>
        <w:rPr>
          <w:rFonts w:ascii="Times New Roman" w:eastAsia="仿宋_GB2312" w:hAnsi="Times New Roman"/>
          <w:bCs/>
          <w:sz w:val="32"/>
          <w:szCs w:val="32"/>
        </w:rPr>
        <w:t>“</w:t>
      </w:r>
      <w:r>
        <w:rPr>
          <w:rFonts w:ascii="Times New Roman" w:eastAsia="仿宋_GB2312" w:hAnsi="Times New Roman" w:hint="eastAsia"/>
          <w:bCs/>
          <w:sz w:val="32"/>
          <w:szCs w:val="32"/>
        </w:rPr>
        <w:t>物联网</w:t>
      </w:r>
      <w:r>
        <w:rPr>
          <w:rFonts w:ascii="Times New Roman" w:eastAsia="仿宋_GB2312" w:hAnsi="Times New Roman"/>
          <w:bCs/>
          <w:sz w:val="32"/>
          <w:szCs w:val="32"/>
        </w:rPr>
        <w:t>+”</w:t>
      </w:r>
      <w:r>
        <w:rPr>
          <w:rFonts w:ascii="Times New Roman" w:eastAsia="仿宋_GB2312" w:hAnsi="Times New Roman" w:hint="eastAsia"/>
          <w:bCs/>
          <w:sz w:val="32"/>
          <w:szCs w:val="32"/>
        </w:rPr>
        <w:t>远程监测系统，可根据核反恐安全的三种情况，给出相应的应急处置预案。</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bCs/>
          <w:sz w:val="32"/>
          <w:szCs w:val="32"/>
        </w:rPr>
        <w:t>考核指标：研究高寒环境核反恐安保弱放射性检测甄别关键技术</w:t>
      </w:r>
      <w:r>
        <w:rPr>
          <w:rFonts w:ascii="Times New Roman" w:eastAsia="仿宋_GB2312" w:hAnsi="Times New Roman"/>
          <w:bCs/>
          <w:sz w:val="32"/>
          <w:szCs w:val="32"/>
        </w:rPr>
        <w:t>2-3</w:t>
      </w:r>
      <w:r>
        <w:rPr>
          <w:rFonts w:ascii="Times New Roman" w:eastAsia="仿宋_GB2312" w:hAnsi="Times New Roman" w:hint="eastAsia"/>
          <w:bCs/>
          <w:sz w:val="32"/>
          <w:szCs w:val="32"/>
        </w:rPr>
        <w:t>项；提高</w:t>
      </w:r>
      <w:r>
        <w:rPr>
          <w:rFonts w:ascii="Times New Roman" w:eastAsia="仿宋_GB2312" w:hAnsi="Times New Roman" w:hint="eastAsia"/>
          <w:sz w:val="32"/>
          <w:szCs w:val="32"/>
        </w:rPr>
        <w:t>测量灵敏度、探测效率、响应时间等指标的关键技术</w:t>
      </w:r>
      <w:r>
        <w:rPr>
          <w:rFonts w:ascii="Times New Roman" w:eastAsia="仿宋_GB2312" w:hAnsi="Times New Roman"/>
          <w:sz w:val="32"/>
          <w:szCs w:val="32"/>
        </w:rPr>
        <w:t>3-5</w:t>
      </w:r>
      <w:r>
        <w:rPr>
          <w:rFonts w:ascii="Times New Roman" w:eastAsia="仿宋_GB2312" w:hAnsi="Times New Roman" w:hint="eastAsia"/>
          <w:sz w:val="32"/>
          <w:szCs w:val="32"/>
        </w:rPr>
        <w:t>项。采用非接触的测量方式，在零下</w:t>
      </w:r>
      <w:r>
        <w:rPr>
          <w:rFonts w:ascii="Times New Roman" w:eastAsia="仿宋_GB2312" w:hAnsi="Times New Roman"/>
          <w:sz w:val="32"/>
          <w:szCs w:val="32"/>
        </w:rPr>
        <w:t>40</w:t>
      </w:r>
      <w:r>
        <w:rPr>
          <w:rFonts w:ascii="宋体" w:hAnsi="宋体" w:cs="宋体" w:hint="eastAsia"/>
          <w:sz w:val="32"/>
          <w:szCs w:val="32"/>
        </w:rPr>
        <w:t>℃</w:t>
      </w:r>
      <w:r>
        <w:rPr>
          <w:rFonts w:ascii="Times New Roman" w:eastAsia="仿宋_GB2312" w:hAnsi="Times New Roman"/>
          <w:sz w:val="32"/>
          <w:szCs w:val="32"/>
        </w:rPr>
        <w:t xml:space="preserve"> </w:t>
      </w:r>
      <w:r>
        <w:rPr>
          <w:rFonts w:ascii="Times New Roman" w:eastAsia="仿宋_GB2312" w:hAnsi="Times New Roman" w:hint="eastAsia"/>
          <w:sz w:val="32"/>
          <w:szCs w:val="32"/>
        </w:rPr>
        <w:t>的情况下正常工作，响应时间小于</w:t>
      </w:r>
      <w:r>
        <w:rPr>
          <w:rFonts w:ascii="Times New Roman" w:eastAsia="仿宋_GB2312" w:hAnsi="Times New Roman"/>
          <w:sz w:val="32"/>
          <w:szCs w:val="32"/>
        </w:rPr>
        <w:t>1s</w:t>
      </w:r>
      <w:r>
        <w:rPr>
          <w:rFonts w:ascii="Times New Roman" w:eastAsia="仿宋_GB2312" w:hAnsi="Times New Roman" w:hint="eastAsia"/>
          <w:sz w:val="32"/>
          <w:szCs w:val="32"/>
        </w:rPr>
        <w:t>，射线能量响应范围</w:t>
      </w:r>
      <w:r>
        <w:rPr>
          <w:rFonts w:ascii="Times New Roman" w:eastAsia="仿宋_GB2312" w:hAnsi="Times New Roman"/>
          <w:sz w:val="32"/>
          <w:szCs w:val="32"/>
        </w:rPr>
        <w:t>30keV-3MeV</w:t>
      </w:r>
      <w:r>
        <w:rPr>
          <w:rFonts w:ascii="Times New Roman" w:eastAsia="仿宋_GB2312" w:hAnsi="Times New Roman" w:hint="eastAsia"/>
          <w:sz w:val="32"/>
          <w:szCs w:val="32"/>
        </w:rPr>
        <w:t>，测量范围</w:t>
      </w:r>
      <w:r>
        <w:rPr>
          <w:rFonts w:ascii="Times New Roman" w:eastAsia="仿宋_GB2312" w:hAnsi="Times New Roman"/>
          <w:sz w:val="32"/>
          <w:szCs w:val="32"/>
        </w:rPr>
        <w:t>0.1-9999μSv/h</w:t>
      </w:r>
      <w:r>
        <w:rPr>
          <w:rFonts w:ascii="Times New Roman" w:eastAsia="仿宋_GB2312" w:hAnsi="Times New Roman" w:hint="eastAsia"/>
          <w:sz w:val="32"/>
          <w:szCs w:val="32"/>
        </w:rPr>
        <w:t>，具备</w:t>
      </w:r>
      <w:r>
        <w:rPr>
          <w:rFonts w:ascii="Times New Roman" w:eastAsia="仿宋_GB2312" w:hAnsi="Times New Roman"/>
          <w:sz w:val="32"/>
          <w:szCs w:val="32"/>
        </w:rPr>
        <w:t>220V</w:t>
      </w:r>
      <w:r>
        <w:rPr>
          <w:rFonts w:ascii="Times New Roman" w:eastAsia="仿宋_GB2312" w:hAnsi="Times New Roman" w:hint="eastAsia"/>
          <w:sz w:val="32"/>
          <w:szCs w:val="32"/>
        </w:rPr>
        <w:t>和锂电池双供电模式。实现系统示范推广应用。</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12.</w:t>
      </w:r>
      <w:r>
        <w:rPr>
          <w:rFonts w:ascii="Times New Roman" w:eastAsia="仿宋_GB2312" w:hAnsi="Times New Roman" w:hint="eastAsia"/>
          <w:b/>
          <w:sz w:val="32"/>
          <w:szCs w:val="32"/>
        </w:rPr>
        <w:t>微循环成像神经电生理诊断系统</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利用近红外光照射患者检查部位，通过图像采集系统采集检查部位的不同波长的血、氧含量高清图像实现微循环病变程度诊断，同时利用刺激信号装置进行末梢神经感知度、神经元测试，实现神经病变程度诊断，为糖尿病足的早期筛查和辅助诊断提供科学依据，对糖尿病足患者治疗效果进行跟踪、对比。</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bCs/>
          <w:sz w:val="32"/>
          <w:szCs w:val="32"/>
        </w:rPr>
        <w:t>考核指标：微循环成像神经电生理诊断系统临床试验中微循环病变程度和神经病变程</w:t>
      </w:r>
      <w:r>
        <w:rPr>
          <w:rFonts w:ascii="Times New Roman" w:eastAsia="仿宋_GB2312" w:hAnsi="Times New Roman" w:hint="eastAsia"/>
          <w:sz w:val="32"/>
          <w:szCs w:val="32"/>
        </w:rPr>
        <w:t>度检测结果准确率均达到</w:t>
      </w:r>
      <w:r>
        <w:rPr>
          <w:rFonts w:ascii="Times New Roman" w:eastAsia="仿宋_GB2312" w:hAnsi="Times New Roman"/>
          <w:sz w:val="32"/>
          <w:szCs w:val="32"/>
        </w:rPr>
        <w:t>75%</w:t>
      </w:r>
      <w:r>
        <w:rPr>
          <w:rFonts w:ascii="Times New Roman" w:eastAsia="仿宋_GB2312" w:hAnsi="Times New Roman" w:hint="eastAsia"/>
          <w:sz w:val="32"/>
          <w:szCs w:val="32"/>
        </w:rPr>
        <w:t>以上；微循环成像神经电生理诊断系统能够对糖尿病足患者治疗效果进行评估；获得医疗器械注册证，研制微循环成像神经电生理诊断系统，实现推广应用。</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13.</w:t>
      </w:r>
      <w:r>
        <w:rPr>
          <w:rFonts w:ascii="Times New Roman" w:eastAsia="仿宋_GB2312" w:hAnsi="Times New Roman" w:hint="eastAsia"/>
          <w:b/>
          <w:sz w:val="32"/>
          <w:szCs w:val="32"/>
        </w:rPr>
        <w:t>可穿戴柔性康复辅助机器人研究</w:t>
      </w:r>
    </w:p>
    <w:p w:rsidR="000A5F03" w:rsidRDefault="000A5F03">
      <w:pPr>
        <w:spacing w:line="560" w:lineRule="exact"/>
        <w:ind w:firstLineChars="221" w:firstLine="707"/>
        <w:rPr>
          <w:rFonts w:ascii="Times New Roman" w:eastAsia="仿宋_GB2312" w:hAnsi="Times New Roman"/>
          <w:bCs/>
          <w:sz w:val="32"/>
          <w:szCs w:val="32"/>
        </w:rPr>
      </w:pPr>
      <w:r>
        <w:rPr>
          <w:rFonts w:ascii="Times New Roman" w:eastAsia="仿宋_GB2312" w:hAnsi="Times New Roman" w:hint="eastAsia"/>
          <w:bCs/>
          <w:sz w:val="32"/>
          <w:szCs w:val="32"/>
        </w:rPr>
        <w:t>研究内容：根据脑瘫儿童、成人偏瘫患者在不同阶段的康复需求，提出相应的康复策略，确定外骨骼机器人在临床应用中面临的关键问题点，设计并制作康复外骨骼机器人系统的本体机构及其相关软、硬件系统；利用基于</w:t>
      </w:r>
      <w:r>
        <w:rPr>
          <w:rFonts w:ascii="Times New Roman" w:eastAsia="仿宋_GB2312" w:hAnsi="Times New Roman"/>
          <w:bCs/>
          <w:sz w:val="32"/>
          <w:szCs w:val="32"/>
        </w:rPr>
        <w:t>sEMG</w:t>
      </w:r>
      <w:r>
        <w:rPr>
          <w:rFonts w:ascii="Times New Roman" w:eastAsia="仿宋_GB2312" w:hAnsi="Times New Roman" w:hint="eastAsia"/>
          <w:bCs/>
          <w:sz w:val="32"/>
          <w:szCs w:val="32"/>
        </w:rPr>
        <w:t>与交互力等多源信号融合的外骨骼康复机器人，进行初步临床实验。</w:t>
      </w:r>
    </w:p>
    <w:p w:rsidR="000A5F03" w:rsidRDefault="000A5F03">
      <w:pPr>
        <w:tabs>
          <w:tab w:val="left" w:pos="709"/>
        </w:tabs>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bCs/>
          <w:sz w:val="32"/>
          <w:szCs w:val="32"/>
        </w:rPr>
        <w:t>考核指标：助力系统总重小于</w:t>
      </w:r>
      <w:r>
        <w:rPr>
          <w:rFonts w:ascii="Times New Roman" w:eastAsia="仿宋_GB2312" w:hAnsi="Times New Roman"/>
          <w:bCs/>
          <w:sz w:val="32"/>
          <w:szCs w:val="32"/>
        </w:rPr>
        <w:t>5kg</w:t>
      </w:r>
      <w:r>
        <w:rPr>
          <w:rFonts w:ascii="Times New Roman" w:eastAsia="仿宋_GB2312" w:hAnsi="Times New Roman" w:hint="eastAsia"/>
          <w:bCs/>
          <w:sz w:val="32"/>
          <w:szCs w:val="32"/>
        </w:rPr>
        <w:t>，连续运动</w:t>
      </w:r>
      <w:r>
        <w:rPr>
          <w:rFonts w:ascii="Times New Roman" w:eastAsia="仿宋_GB2312" w:hAnsi="Times New Roman"/>
          <w:bCs/>
          <w:sz w:val="32"/>
          <w:szCs w:val="32"/>
        </w:rPr>
        <w:t>50</w:t>
      </w:r>
      <w:r>
        <w:rPr>
          <w:rFonts w:ascii="Times New Roman" w:eastAsia="仿宋_GB2312" w:hAnsi="Times New Roman" w:hint="eastAsia"/>
          <w:bCs/>
          <w:sz w:val="32"/>
          <w:szCs w:val="32"/>
        </w:rPr>
        <w:t>万</w:t>
      </w:r>
      <w:r>
        <w:rPr>
          <w:rFonts w:ascii="Times New Roman" w:eastAsia="仿宋_GB2312" w:hAnsi="Times New Roman" w:hint="eastAsia"/>
          <w:sz w:val="32"/>
          <w:szCs w:val="32"/>
        </w:rPr>
        <w:t>次以上，续航时间</w:t>
      </w:r>
      <w:r>
        <w:rPr>
          <w:rFonts w:ascii="Times New Roman" w:eastAsia="仿宋_GB2312" w:hAnsi="Times New Roman"/>
          <w:sz w:val="32"/>
          <w:szCs w:val="32"/>
        </w:rPr>
        <w:t>&gt;8</w:t>
      </w:r>
      <w:r>
        <w:rPr>
          <w:rFonts w:ascii="Times New Roman" w:eastAsia="仿宋_GB2312" w:hAnsi="Times New Roman" w:hint="eastAsia"/>
          <w:sz w:val="32"/>
          <w:szCs w:val="32"/>
        </w:rPr>
        <w:t>小时，实现对步态、步速和地形的自适应，以及运动记忆与学习，研制可穿戴柔性康复辅助机器人。</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14</w:t>
      </w:r>
      <w:r>
        <w:rPr>
          <w:rFonts w:ascii="Times New Roman" w:eastAsia="仿宋_GB2312" w:hAnsi="Times New Roman"/>
          <w:b/>
          <w:bCs/>
          <w:sz w:val="32"/>
          <w:szCs w:val="32"/>
        </w:rPr>
        <w:t>.</w:t>
      </w:r>
      <w:r>
        <w:rPr>
          <w:rFonts w:ascii="Times New Roman" w:hAnsi="Times New Roman"/>
          <w:b/>
          <w:color w:val="000000"/>
        </w:rPr>
        <w:t xml:space="preserve"> </w:t>
      </w:r>
      <w:r>
        <w:rPr>
          <w:rFonts w:ascii="Times New Roman" w:eastAsia="仿宋_GB2312" w:hAnsi="Times New Roman" w:hint="eastAsia"/>
          <w:b/>
          <w:sz w:val="32"/>
          <w:szCs w:val="32"/>
        </w:rPr>
        <w:t>火力发电烟气脱硝技术与设备研究</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研究内容：通过对化学缓释吸附剂的工作原理进行理论分析、成分确定，对吸附剂吸收</w:t>
      </w:r>
      <w:r>
        <w:rPr>
          <w:rFonts w:ascii="Times New Roman" w:eastAsia="仿宋_GB2312" w:hAnsi="Times New Roman"/>
          <w:sz w:val="32"/>
          <w:szCs w:val="32"/>
        </w:rPr>
        <w:t>SO</w:t>
      </w:r>
      <w:r>
        <w:rPr>
          <w:rFonts w:ascii="Times New Roman" w:eastAsia="仿宋_GB2312" w:hAnsi="Times New Roman"/>
          <w:sz w:val="32"/>
          <w:szCs w:val="32"/>
          <w:vertAlign w:val="subscript"/>
        </w:rPr>
        <w:t>3</w:t>
      </w:r>
      <w:r>
        <w:rPr>
          <w:rFonts w:ascii="Times New Roman" w:eastAsia="仿宋_GB2312" w:hAnsi="Times New Roman" w:hint="eastAsia"/>
          <w:sz w:val="32"/>
          <w:szCs w:val="32"/>
        </w:rPr>
        <w:t>进行实验工艺设计；研究脱硝系统入口喷氨结构与操作参数对低负荷下喷氨性能的影响规律、导流和烟气预混合结构对烟气分配均匀性的影响规律，获得脱硝系统入口的烟气温度场、组分浓度场和流场分布规律，开展机组脱硝（</w:t>
      </w:r>
      <w:r>
        <w:rPr>
          <w:rFonts w:ascii="Times New Roman" w:eastAsia="仿宋_GB2312" w:hAnsi="Times New Roman"/>
          <w:sz w:val="32"/>
          <w:szCs w:val="32"/>
        </w:rPr>
        <w:t>SCR</w:t>
      </w:r>
      <w:r>
        <w:rPr>
          <w:rFonts w:ascii="Times New Roman" w:eastAsia="仿宋_GB2312" w:hAnsi="Times New Roman" w:hint="eastAsia"/>
          <w:sz w:val="32"/>
          <w:szCs w:val="32"/>
        </w:rPr>
        <w:t>）系统低负荷运行时烟道缓释吸附作用的数值模拟分析，提出缓释剂输送方案；设计一种新型脱硝（</w:t>
      </w:r>
      <w:r>
        <w:rPr>
          <w:rFonts w:ascii="Times New Roman" w:eastAsia="仿宋_GB2312" w:hAnsi="Times New Roman"/>
          <w:sz w:val="32"/>
          <w:szCs w:val="32"/>
        </w:rPr>
        <w:t>SCR</w:t>
      </w:r>
      <w:r>
        <w:rPr>
          <w:rFonts w:ascii="Times New Roman" w:eastAsia="仿宋_GB2312" w:hAnsi="Times New Roman" w:hint="eastAsia"/>
          <w:sz w:val="32"/>
          <w:szCs w:val="32"/>
        </w:rPr>
        <w:t>）系统入口喷氨装置，完成宽负荷全工况脱硝系统运行技术研究，实现全负荷脱硝稳定经济运行及工程示范。</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考核指标：开发火电机组脱硝系统喷氨实时控制运行系统</w:t>
      </w:r>
      <w:r>
        <w:rPr>
          <w:rFonts w:ascii="Times New Roman" w:eastAsia="仿宋_GB2312" w:hAnsi="Times New Roman"/>
          <w:sz w:val="32"/>
          <w:szCs w:val="32"/>
        </w:rPr>
        <w:t>1</w:t>
      </w:r>
      <w:r>
        <w:rPr>
          <w:rFonts w:ascii="Times New Roman" w:eastAsia="仿宋_GB2312" w:hAnsi="Times New Roman" w:hint="eastAsia"/>
          <w:sz w:val="32"/>
          <w:szCs w:val="32"/>
        </w:rPr>
        <w:t>套，提出关键技术</w:t>
      </w:r>
      <w:r>
        <w:rPr>
          <w:rFonts w:ascii="Times New Roman" w:eastAsia="仿宋_GB2312" w:hAnsi="Times New Roman"/>
          <w:sz w:val="32"/>
          <w:szCs w:val="32"/>
        </w:rPr>
        <w:t>1</w:t>
      </w:r>
      <w:r>
        <w:rPr>
          <w:rFonts w:ascii="Times New Roman" w:eastAsia="仿宋_GB2312" w:hAnsi="Times New Roman" w:hint="eastAsia"/>
          <w:sz w:val="32"/>
          <w:szCs w:val="32"/>
        </w:rPr>
        <w:t>项，提出运行方案</w:t>
      </w:r>
      <w:r>
        <w:rPr>
          <w:rFonts w:ascii="Times New Roman" w:eastAsia="仿宋_GB2312" w:hAnsi="Times New Roman"/>
          <w:sz w:val="32"/>
          <w:szCs w:val="32"/>
        </w:rPr>
        <w:t>1</w:t>
      </w:r>
      <w:r>
        <w:rPr>
          <w:rFonts w:ascii="Times New Roman" w:eastAsia="仿宋_GB2312" w:hAnsi="Times New Roman" w:hint="eastAsia"/>
          <w:sz w:val="32"/>
          <w:szCs w:val="32"/>
        </w:rPr>
        <w:t>套，提出火力发电燃煤机组宽负荷脱硝稳定运行模式成果</w:t>
      </w:r>
      <w:r>
        <w:rPr>
          <w:rFonts w:ascii="Times New Roman" w:eastAsia="仿宋_GB2312" w:hAnsi="Times New Roman"/>
          <w:sz w:val="32"/>
          <w:szCs w:val="32"/>
        </w:rPr>
        <w:t>1</w:t>
      </w:r>
      <w:r>
        <w:rPr>
          <w:rFonts w:ascii="Times New Roman" w:eastAsia="仿宋_GB2312" w:hAnsi="Times New Roman" w:hint="eastAsia"/>
          <w:sz w:val="32"/>
          <w:szCs w:val="32"/>
        </w:rPr>
        <w:t>项，形成理论成果</w:t>
      </w:r>
      <w:r>
        <w:rPr>
          <w:rFonts w:ascii="Times New Roman" w:eastAsia="仿宋_GB2312" w:hAnsi="Times New Roman"/>
          <w:sz w:val="32"/>
          <w:szCs w:val="32"/>
        </w:rPr>
        <w:t>2</w:t>
      </w:r>
      <w:r>
        <w:rPr>
          <w:rFonts w:ascii="Times New Roman" w:eastAsia="仿宋_GB2312" w:hAnsi="Times New Roman" w:hint="eastAsia"/>
          <w:sz w:val="32"/>
          <w:szCs w:val="32"/>
        </w:rPr>
        <w:t>项，完成新技术</w:t>
      </w:r>
      <w:r>
        <w:rPr>
          <w:rFonts w:ascii="Times New Roman" w:eastAsia="仿宋_GB2312" w:hAnsi="Times New Roman"/>
          <w:sz w:val="32"/>
          <w:szCs w:val="32"/>
        </w:rPr>
        <w:t>3</w:t>
      </w:r>
      <w:r>
        <w:rPr>
          <w:rFonts w:ascii="Times New Roman" w:eastAsia="仿宋_GB2312" w:hAnsi="Times New Roman" w:hint="eastAsia"/>
          <w:sz w:val="32"/>
          <w:szCs w:val="32"/>
        </w:rPr>
        <w:t>项，新工艺</w:t>
      </w:r>
      <w:r>
        <w:rPr>
          <w:rFonts w:ascii="Times New Roman" w:eastAsia="仿宋_GB2312" w:hAnsi="Times New Roman"/>
          <w:sz w:val="32"/>
          <w:szCs w:val="32"/>
        </w:rPr>
        <w:t>5</w:t>
      </w:r>
      <w:r>
        <w:rPr>
          <w:rFonts w:ascii="Times New Roman" w:eastAsia="仿宋_GB2312" w:hAnsi="Times New Roman" w:hint="eastAsia"/>
          <w:sz w:val="32"/>
          <w:szCs w:val="32"/>
        </w:rPr>
        <w:t>项，形成省级新产品</w:t>
      </w:r>
      <w:r>
        <w:rPr>
          <w:rFonts w:ascii="Times New Roman" w:eastAsia="仿宋_GB2312" w:hAnsi="Times New Roman"/>
          <w:sz w:val="32"/>
          <w:szCs w:val="32"/>
        </w:rPr>
        <w:t>1</w:t>
      </w:r>
      <w:r>
        <w:rPr>
          <w:rFonts w:ascii="Times New Roman" w:eastAsia="仿宋_GB2312" w:hAnsi="Times New Roman" w:hint="eastAsia"/>
          <w:sz w:val="32"/>
          <w:szCs w:val="32"/>
        </w:rPr>
        <w:t>项，建立火力发电</w:t>
      </w:r>
      <w:r>
        <w:rPr>
          <w:rFonts w:ascii="Times New Roman" w:eastAsia="仿宋_GB2312" w:hAnsi="Times New Roman"/>
          <w:sz w:val="32"/>
          <w:szCs w:val="32"/>
        </w:rPr>
        <w:t>300MW</w:t>
      </w:r>
      <w:r>
        <w:rPr>
          <w:rFonts w:ascii="Times New Roman" w:eastAsia="仿宋_GB2312" w:hAnsi="Times New Roman" w:hint="eastAsia"/>
          <w:sz w:val="32"/>
          <w:szCs w:val="32"/>
        </w:rPr>
        <w:t>机组</w:t>
      </w:r>
      <w:r>
        <w:rPr>
          <w:rFonts w:ascii="Times New Roman" w:eastAsia="仿宋_GB2312" w:hAnsi="Times New Roman"/>
          <w:sz w:val="32"/>
          <w:szCs w:val="32"/>
        </w:rPr>
        <w:t>30%</w:t>
      </w:r>
      <w:r>
        <w:rPr>
          <w:rFonts w:ascii="Times New Roman" w:eastAsia="仿宋_GB2312" w:hAnsi="Times New Roman" w:hint="eastAsia"/>
          <w:sz w:val="32"/>
          <w:szCs w:val="32"/>
        </w:rPr>
        <w:t>额定负荷以下稳定运行示范工程</w:t>
      </w:r>
      <w:r>
        <w:rPr>
          <w:rFonts w:ascii="Times New Roman" w:eastAsia="仿宋_GB2312" w:hAnsi="Times New Roman"/>
          <w:sz w:val="32"/>
          <w:szCs w:val="32"/>
        </w:rPr>
        <w:t>1</w:t>
      </w:r>
      <w:r>
        <w:rPr>
          <w:rFonts w:ascii="Times New Roman" w:eastAsia="仿宋_GB2312" w:hAnsi="Times New Roman" w:hint="eastAsia"/>
          <w:sz w:val="32"/>
          <w:szCs w:val="32"/>
        </w:rPr>
        <w:t>处。</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15.</w:t>
      </w:r>
      <w:r>
        <w:rPr>
          <w:rFonts w:ascii="Times New Roman" w:eastAsia="仿宋_GB2312" w:hAnsi="Times New Roman" w:hint="eastAsia"/>
          <w:b/>
          <w:sz w:val="32"/>
          <w:szCs w:val="32"/>
        </w:rPr>
        <w:t>寒区村镇生活污水处理工艺及设备研究</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针对寒区村镇污水存在分散度大、低温处理难度大及运行维护困难的问题，研究分散与集中相结合的村镇污水处理技术，研究无水泵型变负荷小水量分散式污水处理设备、长缺氧结合污泥过滤村镇污水一体化处理技术与设备及生物</w:t>
      </w:r>
      <w:r>
        <w:rPr>
          <w:rFonts w:ascii="Times New Roman" w:eastAsia="仿宋_GB2312" w:hAnsi="Times New Roman"/>
          <w:sz w:val="32"/>
          <w:szCs w:val="32"/>
        </w:rPr>
        <w:t>/</w:t>
      </w:r>
      <w:r>
        <w:rPr>
          <w:rFonts w:ascii="Times New Roman" w:eastAsia="仿宋_GB2312" w:hAnsi="Times New Roman" w:hint="eastAsia"/>
          <w:sz w:val="32"/>
          <w:szCs w:val="32"/>
        </w:rPr>
        <w:t>生态耦合一体化污水处理装置。</w:t>
      </w:r>
    </w:p>
    <w:p w:rsidR="000A5F03" w:rsidRDefault="000A5F03">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考核指标：研制</w:t>
      </w:r>
      <w:r>
        <w:rPr>
          <w:rFonts w:ascii="Times New Roman" w:eastAsia="仿宋_GB2312" w:hAnsi="Times New Roman"/>
          <w:sz w:val="32"/>
          <w:szCs w:val="32"/>
        </w:rPr>
        <w:t>2-3</w:t>
      </w:r>
      <w:r>
        <w:rPr>
          <w:rFonts w:ascii="Times New Roman" w:eastAsia="仿宋_GB2312" w:hAnsi="Times New Roman" w:hint="eastAsia"/>
          <w:sz w:val="32"/>
          <w:szCs w:val="32"/>
        </w:rPr>
        <w:t>种寒区分散污水处理装置，形成</w:t>
      </w:r>
      <w:r>
        <w:rPr>
          <w:rFonts w:ascii="Times New Roman" w:eastAsia="仿宋_GB2312" w:hAnsi="Times New Roman"/>
          <w:sz w:val="32"/>
          <w:szCs w:val="32"/>
        </w:rPr>
        <w:t>1</w:t>
      </w:r>
      <w:r>
        <w:rPr>
          <w:rFonts w:ascii="Times New Roman" w:eastAsia="仿宋_GB2312" w:hAnsi="Times New Roman" w:hint="eastAsia"/>
          <w:sz w:val="32"/>
          <w:szCs w:val="32"/>
        </w:rPr>
        <w:t>吨、</w:t>
      </w:r>
      <w:r>
        <w:rPr>
          <w:rFonts w:ascii="Times New Roman" w:eastAsia="仿宋_GB2312" w:hAnsi="Times New Roman"/>
          <w:sz w:val="32"/>
          <w:szCs w:val="32"/>
        </w:rPr>
        <w:t>3</w:t>
      </w:r>
      <w:r>
        <w:rPr>
          <w:rFonts w:ascii="Times New Roman" w:eastAsia="仿宋_GB2312" w:hAnsi="Times New Roman" w:hint="eastAsia"/>
          <w:sz w:val="32"/>
          <w:szCs w:val="32"/>
        </w:rPr>
        <w:t>吨规模户用污水处理设备及</w:t>
      </w:r>
      <w:r>
        <w:rPr>
          <w:rFonts w:ascii="Times New Roman" w:eastAsia="仿宋_GB2312" w:hAnsi="Times New Roman"/>
          <w:sz w:val="32"/>
          <w:szCs w:val="32"/>
        </w:rPr>
        <w:t>10</w:t>
      </w:r>
      <w:r>
        <w:rPr>
          <w:rFonts w:ascii="Times New Roman" w:eastAsia="仿宋_GB2312" w:hAnsi="Times New Roman" w:hint="eastAsia"/>
          <w:sz w:val="32"/>
          <w:szCs w:val="32"/>
        </w:rPr>
        <w:t>吨以上村镇集中处理装置。</w:t>
      </w:r>
    </w:p>
    <w:p w:rsidR="000A5F03" w:rsidRDefault="000A5F03">
      <w:pPr>
        <w:spacing w:line="560" w:lineRule="exact"/>
        <w:ind w:firstLineChars="221" w:firstLine="710"/>
        <w:rPr>
          <w:rFonts w:ascii="Times New Roman" w:eastAsia="仿宋_GB2312" w:hAnsi="Times New Roman"/>
          <w:b/>
          <w:sz w:val="32"/>
          <w:szCs w:val="32"/>
        </w:rPr>
      </w:pPr>
      <w:r>
        <w:rPr>
          <w:rFonts w:ascii="Times New Roman" w:eastAsia="仿宋_GB2312" w:hAnsi="Times New Roman"/>
          <w:b/>
          <w:sz w:val="32"/>
          <w:szCs w:val="32"/>
        </w:rPr>
        <w:t>16.</w:t>
      </w:r>
      <w:r>
        <w:rPr>
          <w:rFonts w:ascii="Times New Roman" w:eastAsia="仿宋_GB2312" w:hAnsi="Times New Roman" w:hint="eastAsia"/>
          <w:b/>
          <w:sz w:val="32"/>
          <w:szCs w:val="32"/>
        </w:rPr>
        <w:t>污水污泥处理技术研究与示范</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研究内容：开发低碳</w:t>
      </w:r>
      <w:r>
        <w:rPr>
          <w:rFonts w:ascii="Times New Roman" w:eastAsia="仿宋_GB2312" w:hAnsi="Times New Roman"/>
          <w:sz w:val="32"/>
          <w:szCs w:val="32"/>
        </w:rPr>
        <w:t>-</w:t>
      </w:r>
      <w:r>
        <w:rPr>
          <w:rFonts w:ascii="Times New Roman" w:eastAsia="仿宋_GB2312" w:hAnsi="Times New Roman" w:hint="eastAsia"/>
          <w:sz w:val="32"/>
          <w:szCs w:val="32"/>
        </w:rPr>
        <w:t>保氮污泥好氧堆肥过程控制技术，降低有机堆肥调理剂的用量，减少堆肥生产中氮素损失；开发耐低温快速除臭菌剂，降低污泥堆肥中氨气、硫化氢、</w:t>
      </w:r>
      <w:r>
        <w:rPr>
          <w:rFonts w:ascii="Times New Roman" w:eastAsia="仿宋_GB2312" w:hAnsi="Times New Roman"/>
          <w:sz w:val="32"/>
          <w:szCs w:val="32"/>
        </w:rPr>
        <w:t>VOCs</w:t>
      </w:r>
      <w:r>
        <w:rPr>
          <w:rFonts w:ascii="Times New Roman" w:eastAsia="仿宋_GB2312" w:hAnsi="Times New Roman" w:hint="eastAsia"/>
          <w:sz w:val="32"/>
          <w:szCs w:val="32"/>
        </w:rPr>
        <w:t>等恶臭气体；通过优化技术参数，研究有机</w:t>
      </w:r>
      <w:r>
        <w:rPr>
          <w:rFonts w:ascii="Times New Roman" w:eastAsia="仿宋_GB2312" w:hAnsi="Times New Roman"/>
          <w:sz w:val="32"/>
          <w:szCs w:val="32"/>
        </w:rPr>
        <w:t>-</w:t>
      </w:r>
      <w:r>
        <w:rPr>
          <w:rFonts w:ascii="Times New Roman" w:eastAsia="仿宋_GB2312" w:hAnsi="Times New Roman" w:hint="eastAsia"/>
          <w:sz w:val="32"/>
          <w:szCs w:val="32"/>
        </w:rPr>
        <w:t>无机复混虑料；生物过滤辅以化学强化除臭技术研发；通过生物处理、厌氧消化及干化系统的研究去除污泥中有毒有害物质；开发以污泥为大宗发酵底物生产肥料的技术，肥料化后的污泥可以进行农田利用，实现资源化利用。</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考核指标：将污泥堆肥过程中的氮素损失降低至</w:t>
      </w:r>
      <w:r>
        <w:rPr>
          <w:rFonts w:ascii="Times New Roman" w:eastAsia="仿宋_GB2312" w:hAnsi="Times New Roman"/>
          <w:sz w:val="32"/>
          <w:szCs w:val="32"/>
        </w:rPr>
        <w:t>40%</w:t>
      </w:r>
      <w:r>
        <w:rPr>
          <w:rFonts w:ascii="Times New Roman" w:eastAsia="仿宋_GB2312" w:hAnsi="Times New Roman" w:hint="eastAsia"/>
          <w:sz w:val="32"/>
          <w:szCs w:val="32"/>
        </w:rPr>
        <w:t>以下；根据《恶臭污染物排放标准》（</w:t>
      </w:r>
      <w:r>
        <w:rPr>
          <w:rFonts w:ascii="Times New Roman" w:eastAsia="仿宋_GB2312" w:hAnsi="Times New Roman"/>
          <w:sz w:val="32"/>
          <w:szCs w:val="32"/>
        </w:rPr>
        <w:t>GB 14554-93</w:t>
      </w:r>
      <w:r>
        <w:rPr>
          <w:rFonts w:ascii="Times New Roman" w:eastAsia="仿宋_GB2312" w:hAnsi="Times New Roman" w:hint="eastAsia"/>
          <w:sz w:val="32"/>
          <w:szCs w:val="32"/>
        </w:rPr>
        <w:t>）和《城镇污水处理厂污染物排放标准》（</w:t>
      </w:r>
      <w:r>
        <w:rPr>
          <w:rFonts w:ascii="Times New Roman" w:eastAsia="仿宋_GB2312" w:hAnsi="Times New Roman"/>
          <w:sz w:val="32"/>
          <w:szCs w:val="32"/>
        </w:rPr>
        <w:t>GB 18918-2002</w:t>
      </w:r>
      <w:r>
        <w:rPr>
          <w:rFonts w:ascii="Times New Roman" w:eastAsia="仿宋_GB2312" w:hAnsi="Times New Roman" w:hint="eastAsia"/>
          <w:sz w:val="32"/>
          <w:szCs w:val="32"/>
        </w:rPr>
        <w:t>），拟将恶臭气体排放浓度控制在一级标准；完成污泥生物处理技术</w:t>
      </w:r>
      <w:r>
        <w:rPr>
          <w:rFonts w:ascii="Times New Roman" w:eastAsia="仿宋_GB2312" w:hAnsi="Times New Roman"/>
          <w:sz w:val="32"/>
          <w:szCs w:val="32"/>
        </w:rPr>
        <w:t>10</w:t>
      </w:r>
      <w:r>
        <w:rPr>
          <w:rFonts w:ascii="Times New Roman" w:eastAsia="仿宋_GB2312" w:hAnsi="Times New Roman" w:hint="eastAsia"/>
          <w:sz w:val="32"/>
          <w:szCs w:val="32"/>
        </w:rPr>
        <w:t>吨</w:t>
      </w:r>
      <w:r>
        <w:rPr>
          <w:rFonts w:ascii="Times New Roman" w:eastAsia="仿宋_GB2312" w:hAnsi="Times New Roman"/>
          <w:sz w:val="32"/>
          <w:szCs w:val="32"/>
        </w:rPr>
        <w:t>/</w:t>
      </w:r>
      <w:r>
        <w:rPr>
          <w:rFonts w:ascii="Times New Roman" w:eastAsia="仿宋_GB2312" w:hAnsi="Times New Roman" w:hint="eastAsia"/>
          <w:sz w:val="32"/>
          <w:szCs w:val="32"/>
        </w:rPr>
        <w:t>日示范项目</w:t>
      </w:r>
      <w:r>
        <w:rPr>
          <w:rFonts w:ascii="Times New Roman" w:eastAsia="仿宋_GB2312" w:hAnsi="Times New Roman"/>
          <w:sz w:val="32"/>
          <w:szCs w:val="32"/>
        </w:rPr>
        <w:t>1</w:t>
      </w:r>
      <w:r>
        <w:rPr>
          <w:rFonts w:ascii="Times New Roman" w:eastAsia="仿宋_GB2312" w:hAnsi="Times New Roman" w:hint="eastAsia"/>
          <w:sz w:val="32"/>
          <w:szCs w:val="32"/>
        </w:rPr>
        <w:t>个。</w:t>
      </w:r>
      <w:r>
        <w:rPr>
          <w:rFonts w:ascii="Times New Roman" w:eastAsia="仿宋_GB2312" w:hAnsi="Times New Roman"/>
          <w:sz w:val="32"/>
          <w:szCs w:val="32"/>
        </w:rPr>
        <w:t xml:space="preserve"> </w:t>
      </w:r>
    </w:p>
    <w:p w:rsidR="000A5F03" w:rsidRDefault="000A5F03">
      <w:pPr>
        <w:spacing w:line="56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17.</w:t>
      </w:r>
      <w:r>
        <w:rPr>
          <w:rFonts w:ascii="Times New Roman" w:eastAsia="仿宋_GB2312" w:hAnsi="Times New Roman" w:hint="eastAsia"/>
          <w:b/>
          <w:sz w:val="32"/>
          <w:szCs w:val="32"/>
        </w:rPr>
        <w:t>寒区饮用水深度处理技术研究与工程示范</w:t>
      </w:r>
    </w:p>
    <w:p w:rsidR="000A5F03" w:rsidRDefault="000A5F0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研究内容：针对松花江流域存在的毒性有机物污染问题，开发等离子体活性氧高级氧化技术；针对我省冬季水温偏低及农村地区卫生条件不足等问题，研究针对低温低浊水、生物污染源水的无外加动力的抗污染</w:t>
      </w:r>
      <w:r>
        <w:rPr>
          <w:rFonts w:ascii="Times New Roman" w:eastAsia="仿宋_GB2312" w:hAnsi="Times New Roman"/>
          <w:sz w:val="32"/>
          <w:szCs w:val="32"/>
        </w:rPr>
        <w:t>/</w:t>
      </w:r>
      <w:r>
        <w:rPr>
          <w:rFonts w:ascii="Times New Roman" w:eastAsia="仿宋_GB2312" w:hAnsi="Times New Roman" w:hint="eastAsia"/>
          <w:sz w:val="32"/>
          <w:szCs w:val="32"/>
        </w:rPr>
        <w:t>免药洗微滤膜水处理工艺；探索可高效控制水源水铁、锰、砷污染的高铁酸盐复合剂预氧化</w:t>
      </w:r>
      <w:r>
        <w:rPr>
          <w:rFonts w:ascii="Times New Roman" w:eastAsia="仿宋_GB2312" w:hAnsi="Times New Roman"/>
          <w:sz w:val="32"/>
          <w:szCs w:val="32"/>
        </w:rPr>
        <w:t>/</w:t>
      </w:r>
      <w:r>
        <w:rPr>
          <w:rFonts w:ascii="Times New Roman" w:eastAsia="仿宋_GB2312" w:hAnsi="Times New Roman" w:hint="eastAsia"/>
          <w:sz w:val="32"/>
          <w:szCs w:val="32"/>
        </w:rPr>
        <w:t>吸附</w:t>
      </w:r>
      <w:r>
        <w:rPr>
          <w:rFonts w:ascii="Times New Roman" w:eastAsia="仿宋_GB2312" w:hAnsi="Times New Roman"/>
          <w:sz w:val="32"/>
          <w:szCs w:val="32"/>
        </w:rPr>
        <w:t>/</w:t>
      </w:r>
      <w:r>
        <w:rPr>
          <w:rFonts w:ascii="Times New Roman" w:eastAsia="仿宋_GB2312" w:hAnsi="Times New Roman" w:hint="eastAsia"/>
          <w:sz w:val="32"/>
          <w:szCs w:val="32"/>
        </w:rPr>
        <w:t>膜过滤多功能水质净化集成技术。</w:t>
      </w:r>
    </w:p>
    <w:p w:rsidR="000A5F03" w:rsidRDefault="000A5F03">
      <w:pPr>
        <w:pStyle w:val="Default"/>
        <w:spacing w:line="560" w:lineRule="exact"/>
        <w:ind w:firstLineChars="200" w:firstLine="640"/>
        <w:jc w:val="both"/>
        <w:rPr>
          <w:rFonts w:eastAsia="仿宋_GB2312"/>
          <w:sz w:val="32"/>
          <w:szCs w:val="32"/>
        </w:rPr>
      </w:pPr>
      <w:r>
        <w:rPr>
          <w:rFonts w:eastAsia="仿宋_GB2312" w:hint="eastAsia"/>
          <w:sz w:val="32"/>
          <w:szCs w:val="32"/>
        </w:rPr>
        <w:t>考核指标：制订运行操作指导手册；提出优化组合工艺，形成一批关键技术，建设三项处理能力大于</w:t>
      </w:r>
      <w:r>
        <w:rPr>
          <w:rFonts w:eastAsia="仿宋_GB2312"/>
          <w:sz w:val="32"/>
          <w:szCs w:val="32"/>
        </w:rPr>
        <w:t>1000</w:t>
      </w:r>
      <w:r>
        <w:rPr>
          <w:rFonts w:eastAsia="仿宋_GB2312" w:hint="eastAsia"/>
          <w:sz w:val="32"/>
          <w:szCs w:val="32"/>
        </w:rPr>
        <w:t>吨</w:t>
      </w:r>
      <w:r>
        <w:rPr>
          <w:rFonts w:eastAsia="仿宋_GB2312"/>
          <w:sz w:val="32"/>
          <w:szCs w:val="32"/>
        </w:rPr>
        <w:t>/</w:t>
      </w:r>
      <w:r>
        <w:rPr>
          <w:rFonts w:eastAsia="仿宋_GB2312" w:hint="eastAsia"/>
          <w:sz w:val="32"/>
          <w:szCs w:val="32"/>
        </w:rPr>
        <w:t>天的示范工程。</w:t>
      </w:r>
    </w:p>
    <w:p w:rsidR="000A5F03" w:rsidRDefault="000A5F03" w:rsidP="006216F4">
      <w:pPr>
        <w:spacing w:line="560" w:lineRule="exact"/>
        <w:ind w:firstLineChars="221" w:firstLine="677"/>
        <w:rPr>
          <w:rFonts w:ascii="Times New Roman" w:eastAsia="仿宋_GB2312" w:hAnsi="Times New Roman"/>
          <w:b/>
          <w:sz w:val="32"/>
          <w:szCs w:val="32"/>
        </w:rPr>
      </w:pPr>
      <w:r>
        <w:rPr>
          <w:rFonts w:ascii="Times New Roman" w:eastAsia="仿宋_GB2312" w:hAnsi="Times New Roman"/>
          <w:b/>
          <w:snapToGrid w:val="0"/>
          <w:w w:val="95"/>
          <w:sz w:val="32"/>
          <w:szCs w:val="32"/>
        </w:rPr>
        <w:t>18.</w:t>
      </w:r>
      <w:r>
        <w:rPr>
          <w:rFonts w:ascii="Times New Roman" w:eastAsia="仿宋_GB2312" w:hAnsi="Times New Roman" w:hint="eastAsia"/>
          <w:b/>
          <w:snapToGrid w:val="0"/>
          <w:w w:val="95"/>
          <w:sz w:val="32"/>
          <w:szCs w:val="32"/>
        </w:rPr>
        <w:t>三江平原地下水保护与利用研究</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研究内容：开展三江平原地下水资源背景及开发利用评价研究，界定地下水资源分区，评价地下水开发利用现状，识别地下水超采状况评价与超采因素，地下水环境调查与污染防控研究；开展三江平原水循环规律与地下水可持续利用调控研究，揭示地下水循环转化机制，形成地表水与地下水联合配置及分区调控方案，预测评估地下水综合调控方案效果；开展三江平原地下水保护与利用工程技术模式研究，研发地下水监测预警系统、地下水资源保护与利用关键技术，建成地下水保护工程技术应用示范。</w:t>
      </w:r>
    </w:p>
    <w:p w:rsidR="000A5F03" w:rsidRDefault="000A5F03">
      <w:pPr>
        <w:spacing w:line="560" w:lineRule="exact"/>
        <w:ind w:firstLineChars="221" w:firstLine="707"/>
        <w:rPr>
          <w:rFonts w:ascii="Times New Roman" w:eastAsia="仿宋_GB2312" w:hAnsi="Times New Roman"/>
          <w:sz w:val="32"/>
          <w:szCs w:val="32"/>
        </w:rPr>
      </w:pPr>
      <w:r>
        <w:rPr>
          <w:rFonts w:ascii="Times New Roman" w:eastAsia="仿宋_GB2312" w:hAnsi="Times New Roman" w:hint="eastAsia"/>
          <w:sz w:val="32"/>
          <w:szCs w:val="32"/>
        </w:rPr>
        <w:t>考核指标：开发地下监测预警系统</w:t>
      </w:r>
      <w:r>
        <w:rPr>
          <w:rFonts w:ascii="Times New Roman" w:eastAsia="仿宋_GB2312" w:hAnsi="Times New Roman"/>
          <w:sz w:val="32"/>
          <w:szCs w:val="32"/>
        </w:rPr>
        <w:t>1</w:t>
      </w:r>
      <w:r>
        <w:rPr>
          <w:rFonts w:ascii="Times New Roman" w:eastAsia="仿宋_GB2312" w:hAnsi="Times New Roman" w:hint="eastAsia"/>
          <w:sz w:val="32"/>
          <w:szCs w:val="32"/>
        </w:rPr>
        <w:t>套，提出关键技术</w:t>
      </w:r>
      <w:r>
        <w:rPr>
          <w:rFonts w:ascii="Times New Roman" w:eastAsia="仿宋_GB2312" w:hAnsi="Times New Roman"/>
          <w:sz w:val="32"/>
          <w:szCs w:val="32"/>
        </w:rPr>
        <w:t>1</w:t>
      </w:r>
      <w:r>
        <w:rPr>
          <w:rFonts w:ascii="Times New Roman" w:eastAsia="仿宋_GB2312" w:hAnsi="Times New Roman" w:hint="eastAsia"/>
          <w:sz w:val="32"/>
          <w:szCs w:val="32"/>
        </w:rPr>
        <w:t>项，提出调控方案</w:t>
      </w:r>
      <w:r>
        <w:rPr>
          <w:rFonts w:ascii="Times New Roman" w:eastAsia="仿宋_GB2312" w:hAnsi="Times New Roman"/>
          <w:sz w:val="32"/>
          <w:szCs w:val="32"/>
        </w:rPr>
        <w:t>1</w:t>
      </w:r>
      <w:r>
        <w:rPr>
          <w:rFonts w:ascii="Times New Roman" w:eastAsia="仿宋_GB2312" w:hAnsi="Times New Roman" w:hint="eastAsia"/>
          <w:sz w:val="32"/>
          <w:szCs w:val="32"/>
        </w:rPr>
        <w:t>套，提出地下水综合保护模式成果</w:t>
      </w:r>
      <w:r>
        <w:rPr>
          <w:rFonts w:ascii="Times New Roman" w:eastAsia="仿宋_GB2312" w:hAnsi="Times New Roman"/>
          <w:sz w:val="32"/>
          <w:szCs w:val="32"/>
        </w:rPr>
        <w:t>1</w:t>
      </w:r>
      <w:r>
        <w:rPr>
          <w:rFonts w:ascii="Times New Roman" w:eastAsia="仿宋_GB2312" w:hAnsi="Times New Roman" w:hint="eastAsia"/>
          <w:sz w:val="32"/>
          <w:szCs w:val="32"/>
        </w:rPr>
        <w:t>项，提出评价成果</w:t>
      </w:r>
      <w:r>
        <w:rPr>
          <w:rFonts w:ascii="Times New Roman" w:eastAsia="仿宋_GB2312" w:hAnsi="Times New Roman"/>
          <w:sz w:val="32"/>
          <w:szCs w:val="32"/>
        </w:rPr>
        <w:t>2</w:t>
      </w:r>
      <w:r>
        <w:rPr>
          <w:rFonts w:ascii="Times New Roman" w:eastAsia="仿宋_GB2312" w:hAnsi="Times New Roman" w:hint="eastAsia"/>
          <w:sz w:val="32"/>
          <w:szCs w:val="32"/>
        </w:rPr>
        <w:t>套，形成理论成果</w:t>
      </w:r>
      <w:r>
        <w:rPr>
          <w:rFonts w:ascii="Times New Roman" w:eastAsia="仿宋_GB2312" w:hAnsi="Times New Roman"/>
          <w:sz w:val="32"/>
          <w:szCs w:val="32"/>
        </w:rPr>
        <w:t>1</w:t>
      </w:r>
      <w:r>
        <w:rPr>
          <w:rFonts w:ascii="Times New Roman" w:eastAsia="仿宋_GB2312" w:hAnsi="Times New Roman" w:hint="eastAsia"/>
          <w:sz w:val="32"/>
          <w:szCs w:val="32"/>
        </w:rPr>
        <w:t>项，建立地下水节水压采示范区</w:t>
      </w:r>
      <w:r>
        <w:rPr>
          <w:rFonts w:ascii="Times New Roman" w:eastAsia="仿宋_GB2312" w:hAnsi="Times New Roman"/>
          <w:sz w:val="32"/>
          <w:szCs w:val="32"/>
        </w:rPr>
        <w:t>3</w:t>
      </w:r>
      <w:r>
        <w:rPr>
          <w:rFonts w:ascii="Times New Roman" w:eastAsia="仿宋_GB2312" w:hAnsi="Times New Roman" w:hint="eastAsia"/>
          <w:sz w:val="32"/>
          <w:szCs w:val="32"/>
        </w:rPr>
        <w:t>处，总面积</w:t>
      </w:r>
      <w:r>
        <w:rPr>
          <w:rFonts w:ascii="Times New Roman" w:eastAsia="仿宋_GB2312" w:hAnsi="Times New Roman"/>
          <w:sz w:val="32"/>
          <w:szCs w:val="32"/>
        </w:rPr>
        <w:t>10000</w:t>
      </w:r>
      <w:r>
        <w:rPr>
          <w:rFonts w:ascii="Times New Roman" w:eastAsia="仿宋_GB2312" w:hAnsi="Times New Roman" w:hint="eastAsia"/>
          <w:sz w:val="32"/>
          <w:szCs w:val="32"/>
        </w:rPr>
        <w:t>亩，辐射面积</w:t>
      </w:r>
      <w:r>
        <w:rPr>
          <w:rFonts w:ascii="Times New Roman" w:eastAsia="仿宋_GB2312" w:hAnsi="Times New Roman"/>
          <w:sz w:val="32"/>
          <w:szCs w:val="32"/>
        </w:rPr>
        <w:t>20</w:t>
      </w:r>
      <w:r>
        <w:rPr>
          <w:rFonts w:ascii="Times New Roman" w:eastAsia="仿宋_GB2312" w:hAnsi="Times New Roman" w:hint="eastAsia"/>
          <w:sz w:val="32"/>
          <w:szCs w:val="32"/>
        </w:rPr>
        <w:t>万亩。</w:t>
      </w:r>
    </w:p>
    <w:sectPr w:rsidR="000A5F03" w:rsidSect="00E2367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F03" w:rsidRDefault="000A5F03" w:rsidP="00E23679">
      <w:r>
        <w:separator/>
      </w:r>
    </w:p>
  </w:endnote>
  <w:endnote w:type="continuationSeparator" w:id="0">
    <w:p w:rsidR="000A5F03" w:rsidRDefault="000A5F03" w:rsidP="00E236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Mincho">
    <w:altName w:val="昒? 瀡?"/>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F03" w:rsidRDefault="000A5F03">
    <w:pPr>
      <w:pStyle w:val="Footer"/>
      <w:jc w:val="center"/>
    </w:pPr>
    <w:fldSimple w:instr=" PAGE   \* MERGEFORMAT ">
      <w:r w:rsidRPr="006216F4">
        <w:rPr>
          <w:noProof/>
          <w:lang w:val="zh-CN"/>
        </w:rPr>
        <w:t>30</w:t>
      </w:r>
    </w:fldSimple>
  </w:p>
  <w:p w:rsidR="000A5F03" w:rsidRDefault="000A5F0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F03" w:rsidRDefault="000A5F03" w:rsidP="00E23679">
      <w:r>
        <w:separator/>
      </w:r>
    </w:p>
  </w:footnote>
  <w:footnote w:type="continuationSeparator" w:id="0">
    <w:p w:rsidR="000A5F03" w:rsidRDefault="000A5F03" w:rsidP="00E236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80F8"/>
    <w:multiLevelType w:val="singleLevel"/>
    <w:tmpl w:val="210E80F8"/>
    <w:lvl w:ilvl="0">
      <w:start w:val="3"/>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oNotDisplayPageBoundaries/>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7C9B"/>
    <w:rsid w:val="000A5F03"/>
    <w:rsid w:val="000F7C9B"/>
    <w:rsid w:val="00142EEE"/>
    <w:rsid w:val="002A241A"/>
    <w:rsid w:val="004302BA"/>
    <w:rsid w:val="006216F4"/>
    <w:rsid w:val="007A063D"/>
    <w:rsid w:val="007E2391"/>
    <w:rsid w:val="00B80D64"/>
    <w:rsid w:val="00E23679"/>
    <w:rsid w:val="00EA4167"/>
    <w:rsid w:val="02FC10A1"/>
    <w:rsid w:val="05D707D3"/>
    <w:rsid w:val="152C2C90"/>
    <w:rsid w:val="17432656"/>
    <w:rsid w:val="19BD6E03"/>
    <w:rsid w:val="1A333952"/>
    <w:rsid w:val="1B8C5373"/>
    <w:rsid w:val="1FDE44DB"/>
    <w:rsid w:val="229E0506"/>
    <w:rsid w:val="24461447"/>
    <w:rsid w:val="34A3608B"/>
    <w:rsid w:val="34E01E83"/>
    <w:rsid w:val="37787814"/>
    <w:rsid w:val="3B54731C"/>
    <w:rsid w:val="3B651632"/>
    <w:rsid w:val="3D412893"/>
    <w:rsid w:val="3F273D6B"/>
    <w:rsid w:val="44991410"/>
    <w:rsid w:val="469908CA"/>
    <w:rsid w:val="4DBF511F"/>
    <w:rsid w:val="5DCD57EB"/>
    <w:rsid w:val="61883EE5"/>
    <w:rsid w:val="6335640A"/>
    <w:rsid w:val="6510405A"/>
    <w:rsid w:val="66873228"/>
    <w:rsid w:val="70853544"/>
    <w:rsid w:val="7C6B19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HTML Preformatted"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679"/>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367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34448"/>
    <w:rPr>
      <w:rFonts w:ascii="Calibri" w:hAnsi="Calibri"/>
      <w:sz w:val="18"/>
      <w:szCs w:val="18"/>
    </w:rPr>
  </w:style>
  <w:style w:type="paragraph" w:styleId="Header">
    <w:name w:val="header"/>
    <w:basedOn w:val="Normal"/>
    <w:link w:val="HeaderChar"/>
    <w:uiPriority w:val="99"/>
    <w:rsid w:val="00E2367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23679"/>
    <w:rPr>
      <w:rFonts w:ascii="Calibri" w:eastAsia="宋体" w:hAnsi="Calibri" w:cs="Times New Roman"/>
      <w:kern w:val="2"/>
      <w:sz w:val="18"/>
      <w:szCs w:val="18"/>
    </w:rPr>
  </w:style>
  <w:style w:type="paragraph" w:styleId="HTMLPreformatted">
    <w:name w:val="HTML Preformatted"/>
    <w:basedOn w:val="Normal"/>
    <w:link w:val="HTMLPreformattedChar"/>
    <w:uiPriority w:val="99"/>
    <w:rsid w:val="00E23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PreformattedChar">
    <w:name w:val="HTML Preformatted Char"/>
    <w:basedOn w:val="DefaultParagraphFont"/>
    <w:link w:val="HTMLPreformatted"/>
    <w:uiPriority w:val="99"/>
    <w:semiHidden/>
    <w:rsid w:val="00834448"/>
    <w:rPr>
      <w:rFonts w:ascii="Courier New" w:hAnsi="Courier New" w:cs="Courier New"/>
      <w:sz w:val="20"/>
      <w:szCs w:val="20"/>
    </w:rPr>
  </w:style>
  <w:style w:type="paragraph" w:customStyle="1" w:styleId="Default">
    <w:name w:val="Default"/>
    <w:uiPriority w:val="99"/>
    <w:rsid w:val="00E23679"/>
    <w:pPr>
      <w:widowControl w:val="0"/>
      <w:autoSpaceDE w:val="0"/>
      <w:autoSpaceDN w:val="0"/>
      <w:adjustRightInd w:val="0"/>
    </w:pPr>
    <w:rPr>
      <w:color w:val="000000"/>
      <w:kern w:val="0"/>
      <w:sz w:val="24"/>
      <w:szCs w:val="24"/>
    </w:rPr>
  </w:style>
  <w:style w:type="paragraph" w:styleId="ListParagraph">
    <w:name w:val="List Paragraph"/>
    <w:basedOn w:val="Normal"/>
    <w:uiPriority w:val="99"/>
    <w:qFormat/>
    <w:rsid w:val="00E2367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30</Pages>
  <Words>2427</Words>
  <Characters>13835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slm</dc:creator>
  <cp:keywords/>
  <dc:description/>
  <cp:lastModifiedBy>Winxp</cp:lastModifiedBy>
  <cp:revision>2</cp:revision>
  <cp:lastPrinted>2018-11-20T01:55:00Z</cp:lastPrinted>
  <dcterms:created xsi:type="dcterms:W3CDTF">2019-10-08T03:21:00Z</dcterms:created>
  <dcterms:modified xsi:type="dcterms:W3CDTF">2019-10-08T03:21:00Z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